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7895E" w14:textId="55C1029F" w:rsidR="00E51896" w:rsidRDefault="00E51896" w:rsidP="0058661A">
      <w:pPr>
        <w:pStyle w:val="AddressLine"/>
        <w:keepNext/>
        <w:keepLines/>
        <w:jc w:val="left"/>
      </w:pPr>
      <w:r>
        <w:t>[</w:t>
      </w:r>
      <w:r w:rsidRPr="00B253D0">
        <w:rPr>
          <w:b/>
          <w:bCs/>
          <w:i/>
          <w:iCs/>
        </w:rPr>
        <w:t>INVESTOR'S NAME</w:t>
      </w:r>
      <w:r>
        <w:t>]</w:t>
      </w:r>
      <w:r w:rsidR="00135F40">
        <w:br/>
      </w:r>
      <w:r>
        <w:t>[</w:t>
      </w:r>
      <w:r w:rsidRPr="00B253D0">
        <w:rPr>
          <w:b/>
          <w:bCs/>
          <w:i/>
          <w:iCs/>
        </w:rPr>
        <w:t>INVESTOR'S ADDRESS</w:t>
      </w:r>
      <w:r>
        <w:t>]</w:t>
      </w:r>
    </w:p>
    <w:p w14:paraId="0A155DAD" w14:textId="77777777" w:rsidR="00B253D0" w:rsidRDefault="00B253D0" w:rsidP="0058661A">
      <w:pPr>
        <w:pStyle w:val="Date"/>
        <w:keepNext/>
        <w:keepLines/>
      </w:pPr>
    </w:p>
    <w:p w14:paraId="45733C4B" w14:textId="77777777" w:rsidR="00B253D0" w:rsidRDefault="00B253D0" w:rsidP="0058661A">
      <w:pPr>
        <w:pStyle w:val="Date"/>
        <w:keepNext/>
        <w:keepLines/>
      </w:pPr>
    </w:p>
    <w:p w14:paraId="0BCDCEC4" w14:textId="73A57472" w:rsidR="00E51896" w:rsidRDefault="00E51896" w:rsidP="0058661A">
      <w:pPr>
        <w:pStyle w:val="Date"/>
        <w:keepNext/>
        <w:keepLines/>
      </w:pPr>
      <w:r w:rsidRPr="00E51896">
        <w:t>DATE</w:t>
      </w:r>
      <w:r w:rsidR="00B253D0">
        <w:t>: _____________________ 2025</w:t>
      </w:r>
    </w:p>
    <w:p w14:paraId="7181F317" w14:textId="5EF5B2B7" w:rsidR="00E51896" w:rsidRDefault="00E51896" w:rsidP="0058661A">
      <w:pPr>
        <w:pStyle w:val="SalutationPara"/>
        <w:keepNext/>
        <w:keepLines/>
      </w:pPr>
      <w:r>
        <w:t xml:space="preserve">To: </w:t>
      </w:r>
      <w:r w:rsidR="00B253D0">
        <w:t>[</w:t>
      </w:r>
      <w:r w:rsidRPr="00B253D0">
        <w:rPr>
          <w:b/>
          <w:bCs/>
          <w:i/>
          <w:iCs/>
        </w:rPr>
        <w:t xml:space="preserve">NAME(S) OF </w:t>
      </w:r>
      <w:r w:rsidR="00B253D0">
        <w:rPr>
          <w:b/>
          <w:bCs/>
          <w:i/>
          <w:iCs/>
        </w:rPr>
        <w:t xml:space="preserve">INVESTOR </w:t>
      </w:r>
      <w:r w:rsidRPr="00B253D0">
        <w:rPr>
          <w:b/>
          <w:bCs/>
          <w:i/>
          <w:iCs/>
        </w:rPr>
        <w:t>ADDRESSEE(S)</w:t>
      </w:r>
      <w:r>
        <w:t>]</w:t>
      </w:r>
    </w:p>
    <w:p w14:paraId="2A4A48C6" w14:textId="77777777" w:rsidR="00C97CC7" w:rsidRDefault="00C97CC7" w:rsidP="0058661A">
      <w:pPr>
        <w:pStyle w:val="LetterTitle"/>
        <w:keepNext/>
        <w:keepLines/>
      </w:pPr>
    </w:p>
    <w:p w14:paraId="2157BAE9" w14:textId="4080DA7A" w:rsidR="00E51896" w:rsidRDefault="00E51896" w:rsidP="0058661A">
      <w:pPr>
        <w:pStyle w:val="LetterTitle"/>
        <w:keepNext/>
        <w:keepLines/>
      </w:pPr>
      <w:r>
        <w:t xml:space="preserve">[COMPANY] </w:t>
      </w:r>
      <w:r w:rsidR="00B253D0">
        <w:t xml:space="preserve">LIMITED </w:t>
      </w:r>
      <w:r w:rsidR="00B253D0" w:rsidRPr="00C01679">
        <w:t>(Company No.  [INSERT NUMBER]) (the "Company")</w:t>
      </w:r>
    </w:p>
    <w:p w14:paraId="3DAA325E" w14:textId="79A83C84" w:rsidR="00E51896" w:rsidRDefault="00E51896" w:rsidP="0058661A">
      <w:pPr>
        <w:pStyle w:val="Paragraph"/>
        <w:keepNext/>
        <w:keepLines/>
      </w:pPr>
      <w:r>
        <w:t xml:space="preserve">We refer to the </w:t>
      </w:r>
      <w:r w:rsidR="00B253D0">
        <w:t>subscription</w:t>
      </w:r>
      <w:r>
        <w:t xml:space="preserve"> </w:t>
      </w:r>
      <w:r w:rsidR="00050AFB">
        <w:t xml:space="preserve">and shareholders' </w:t>
      </w:r>
      <w:r>
        <w:t>agreement (</w:t>
      </w:r>
      <w:r w:rsidR="00B253D0">
        <w:t>the "</w:t>
      </w:r>
      <w:r>
        <w:rPr>
          <w:rStyle w:val="DefTerm"/>
        </w:rPr>
        <w:t>Agreement</w:t>
      </w:r>
      <w:r w:rsidR="00B253D0" w:rsidRPr="00B253D0">
        <w:rPr>
          <w:rStyle w:val="DefTerm"/>
          <w:b w:val="0"/>
          <w:bCs/>
        </w:rPr>
        <w:t>"</w:t>
      </w:r>
      <w:r>
        <w:t xml:space="preserve">) to be entered into </w:t>
      </w:r>
      <w:r w:rsidR="00135F40">
        <w:t xml:space="preserve">today </w:t>
      </w:r>
      <w:r>
        <w:t xml:space="preserve">between </w:t>
      </w:r>
      <w:r w:rsidR="00135F40">
        <w:t xml:space="preserve">(1) </w:t>
      </w:r>
      <w:r>
        <w:t>[</w:t>
      </w:r>
      <w:r w:rsidR="00135F40" w:rsidRPr="00135F40">
        <w:rPr>
          <w:b/>
          <w:bCs/>
          <w:i/>
          <w:iCs/>
        </w:rPr>
        <w:t>INSERT</w:t>
      </w:r>
      <w:r w:rsidR="00135F40">
        <w:t xml:space="preserve"> </w:t>
      </w:r>
      <w:r w:rsidRPr="00D043A8">
        <w:rPr>
          <w:b/>
          <w:bCs/>
          <w:i/>
          <w:iCs/>
        </w:rPr>
        <w:t>WARRANTOR(S)</w:t>
      </w:r>
      <w:r>
        <w:t>]</w:t>
      </w:r>
      <w:r w:rsidR="00135F40">
        <w:t>,</w:t>
      </w:r>
      <w:r>
        <w:t xml:space="preserve"> </w:t>
      </w:r>
      <w:r w:rsidR="00135F40">
        <w:t xml:space="preserve">(2) </w:t>
      </w:r>
      <w:r>
        <w:t>the Company</w:t>
      </w:r>
      <w:r w:rsidR="00135F40">
        <w:t xml:space="preserve"> </w:t>
      </w:r>
      <w:r>
        <w:t xml:space="preserve">and </w:t>
      </w:r>
      <w:r w:rsidR="00135F40">
        <w:t xml:space="preserve">(3) </w:t>
      </w:r>
      <w:r>
        <w:t>[</w:t>
      </w:r>
      <w:r w:rsidRPr="001E27A6">
        <w:rPr>
          <w:b/>
          <w:bCs/>
          <w:i/>
          <w:iCs/>
        </w:rPr>
        <w:t>INVESTOR</w:t>
      </w:r>
      <w:r w:rsidR="001E27A6">
        <w:rPr>
          <w:b/>
          <w:bCs/>
          <w:i/>
          <w:iCs/>
        </w:rPr>
        <w:t>S</w:t>
      </w:r>
      <w:r>
        <w:t>] (</w:t>
      </w:r>
      <w:r w:rsidR="001E27A6">
        <w:t>the "</w:t>
      </w:r>
      <w:r>
        <w:rPr>
          <w:rStyle w:val="DefTerm"/>
        </w:rPr>
        <w:t>Investor</w:t>
      </w:r>
      <w:r w:rsidR="001E27A6">
        <w:rPr>
          <w:rStyle w:val="DefTerm"/>
        </w:rPr>
        <w:t>s</w:t>
      </w:r>
      <w:r w:rsidR="001E27A6" w:rsidRPr="001E27A6">
        <w:rPr>
          <w:rStyle w:val="DefTerm"/>
          <w:b w:val="0"/>
          <w:bCs/>
        </w:rPr>
        <w:t>"</w:t>
      </w:r>
      <w:r>
        <w:t>) in connection with the Investors</w:t>
      </w:r>
      <w:r w:rsidR="001E27A6">
        <w:t>'</w:t>
      </w:r>
      <w:r>
        <w:t xml:space="preserve"> proposed investment in the Company (</w:t>
      </w:r>
      <w:r w:rsidR="001E27A6">
        <w:t>the "</w:t>
      </w:r>
      <w:r>
        <w:rPr>
          <w:b/>
          <w:bCs/>
        </w:rPr>
        <w:t>Transaction</w:t>
      </w:r>
      <w:r w:rsidR="001E27A6" w:rsidRPr="001E27A6">
        <w:t>"</w:t>
      </w:r>
      <w:r>
        <w:t>).</w:t>
      </w:r>
    </w:p>
    <w:p w14:paraId="0096CA4B" w14:textId="0C035D36" w:rsidR="00E51896" w:rsidRDefault="00135F40" w:rsidP="0058661A">
      <w:pPr>
        <w:pStyle w:val="Paragraph"/>
        <w:keepNext/>
        <w:keepLines/>
        <w:rPr>
          <w:lang w:val="en-US"/>
        </w:rPr>
      </w:pPr>
      <w:r>
        <w:rPr>
          <w:lang w:val="en-US"/>
        </w:rPr>
        <w:t xml:space="preserve">Terms defined in the Agreement shall have the same meaning in this letter. </w:t>
      </w:r>
      <w:r w:rsidR="00E51896">
        <w:t>This letter is the Disclosure Letter referred to in the Agreement.</w:t>
      </w:r>
      <w:bookmarkStart w:id="0" w:name="a843973"/>
      <w:r>
        <w:t xml:space="preserve"> </w:t>
      </w:r>
      <w:r w:rsidR="00E51896">
        <w:rPr>
          <w:lang w:val="en-US"/>
        </w:rPr>
        <w:t>References in this letter to paragraph headings and number</w:t>
      </w:r>
      <w:r>
        <w:rPr>
          <w:lang w:val="en-US"/>
        </w:rPr>
        <w:t>ing</w:t>
      </w:r>
      <w:r w:rsidR="00E51896">
        <w:rPr>
          <w:lang w:val="en-US"/>
        </w:rPr>
        <w:t xml:space="preserve"> are for convenience only and shall not alter the construction of this letter nor in any way limit the effect of any of the disclosures, all of which are made against the Warranties as a whole. </w:t>
      </w:r>
      <w:bookmarkEnd w:id="0"/>
    </w:p>
    <w:p w14:paraId="33DB4E14" w14:textId="77777777" w:rsidR="00E51896" w:rsidRDefault="00E51896" w:rsidP="0058661A">
      <w:pPr>
        <w:pStyle w:val="ParaClause"/>
        <w:keepNext/>
        <w:keepLines/>
        <w:ind w:left="0"/>
        <w:rPr>
          <w:lang w:val="en-US"/>
        </w:rPr>
      </w:pPr>
      <w:r>
        <w:rPr>
          <w:lang w:val="en-US"/>
        </w:rPr>
        <w:t>A disclosure or qualification made by reference to any particular paragraph of the Warranty Schedule shall be deemed to be made also in respect of any other paragraph of the Warranty Schedule to which the disclosure or qualification may be applicable.</w:t>
      </w:r>
    </w:p>
    <w:p w14:paraId="7F4F1CE5" w14:textId="77777777" w:rsidR="00E51896" w:rsidRPr="001A69D8" w:rsidRDefault="00E51896" w:rsidP="0058661A">
      <w:pPr>
        <w:pStyle w:val="ParaClause"/>
        <w:keepNext/>
        <w:keepLines/>
        <w:ind w:left="0"/>
        <w:rPr>
          <w:lang w:val="en-US"/>
        </w:rPr>
      </w:pPr>
      <w:r>
        <w:rPr>
          <w:lang w:val="en-US"/>
        </w:rPr>
        <w:t>The disclosure of any matter or document shall not imply any representation, warranty or undertaking not expressly given in the Agreement, nor shall such disclosure be taken as extending the scope of any of the Warranties.</w:t>
      </w:r>
    </w:p>
    <w:p w14:paraId="19147B69" w14:textId="77777777" w:rsidR="00E51896" w:rsidRDefault="00E51896" w:rsidP="0058661A">
      <w:pPr>
        <w:pStyle w:val="ParaClause"/>
        <w:keepNext/>
        <w:keepLines/>
        <w:ind w:left="0"/>
        <w:rPr>
          <w:lang w:val="en-US"/>
        </w:rPr>
      </w:pPr>
      <w:r>
        <w:rPr>
          <w:lang w:val="en-US"/>
        </w:rPr>
        <w:t>Where brief particulars only of a matter are set out or referred to in this letter, or a document is referred to but not attached, or a reference is made to a particular part only of such document, full particulars of the matter and the full contents of the document are deemed to be disclosed, and it is assumed that the Investor does not require any further particulars.</w:t>
      </w:r>
    </w:p>
    <w:p w14:paraId="41CF30E7" w14:textId="77777777" w:rsidR="00E51896" w:rsidRDefault="00E51896" w:rsidP="0058661A">
      <w:pPr>
        <w:pStyle w:val="NoNumTitle-Clause"/>
        <w:keepLines/>
        <w:ind w:left="0"/>
        <w:rPr>
          <w:lang w:val="en-US"/>
        </w:rPr>
      </w:pPr>
      <w:bookmarkStart w:id="1" w:name="a397664"/>
      <w:r>
        <w:rPr>
          <w:lang w:val="en-US"/>
        </w:rPr>
        <w:t>General disclosures</w:t>
      </w:r>
      <w:bookmarkEnd w:id="1"/>
    </w:p>
    <w:p w14:paraId="4493EBE1" w14:textId="7C2C8736" w:rsidR="00E51896" w:rsidRDefault="00E51896" w:rsidP="0058661A">
      <w:pPr>
        <w:pStyle w:val="NoNumUntitledsubclause1"/>
        <w:keepNext/>
        <w:keepLines/>
        <w:ind w:left="0"/>
      </w:pPr>
      <w:bookmarkStart w:id="2" w:name="a432623"/>
      <w:r>
        <w:t>By way of general disclosure, the following matters are disclosed or deemed disclosed to the Investor</w:t>
      </w:r>
      <w:r w:rsidR="00D043A8">
        <w:t>s</w:t>
      </w:r>
      <w:r>
        <w:t>:</w:t>
      </w:r>
      <w:bookmarkEnd w:id="2"/>
    </w:p>
    <w:p w14:paraId="79CCE808" w14:textId="6D4BB014" w:rsidR="00E51896" w:rsidRDefault="00135F40" w:rsidP="0058661A">
      <w:pPr>
        <w:pStyle w:val="UntitledClause"/>
        <w:keepLines/>
      </w:pPr>
      <w:bookmarkStart w:id="3" w:name="a522555"/>
      <w:r>
        <w:t xml:space="preserve">The contents of the </w:t>
      </w:r>
      <w:r w:rsidRPr="00135F40">
        <w:t xml:space="preserve">Agreement and all transactions and/or documents referred to therein (including </w:t>
      </w:r>
      <w:r>
        <w:t>[</w:t>
      </w:r>
      <w:r w:rsidRPr="00135F40">
        <w:t>the Accounts,</w:t>
      </w:r>
      <w:r>
        <w:t>]</w:t>
      </w:r>
      <w:r w:rsidRPr="00135F40">
        <w:t xml:space="preserve"> </w:t>
      </w:r>
      <w:r>
        <w:t>[</w:t>
      </w:r>
      <w:r w:rsidRPr="00135F40">
        <w:t>the Business Plan</w:t>
      </w:r>
      <w:r>
        <w:t xml:space="preserve">] [and] </w:t>
      </w:r>
      <w:r w:rsidRPr="00135F40">
        <w:t>the Articles,);</w:t>
      </w:r>
      <w:r>
        <w:t xml:space="preserve"> </w:t>
      </w:r>
      <w:bookmarkEnd w:id="3"/>
    </w:p>
    <w:p w14:paraId="0C6B8D8B" w14:textId="503FAAB0" w:rsidR="00E51896" w:rsidRDefault="00E51896" w:rsidP="0058661A">
      <w:pPr>
        <w:pStyle w:val="UntitledClause"/>
        <w:keepLines/>
      </w:pPr>
      <w:bookmarkStart w:id="4" w:name="a175571"/>
      <w:r>
        <w:t>All circumstances, facts and matters that would be revealed by an online search of the file of the Company at Companies House on the date of this letter.</w:t>
      </w:r>
      <w:bookmarkEnd w:id="4"/>
    </w:p>
    <w:p w14:paraId="1521D761" w14:textId="300041F8" w:rsidR="00E51896" w:rsidRDefault="00E51896" w:rsidP="0058661A">
      <w:pPr>
        <w:pStyle w:val="UntitledClause"/>
        <w:keepLines/>
      </w:pPr>
      <w:bookmarkStart w:id="5" w:name="a635917"/>
      <w:r>
        <w:t>The statutory books of the Company, all of which have been made available to the Investor.</w:t>
      </w:r>
      <w:bookmarkEnd w:id="5"/>
    </w:p>
    <w:p w14:paraId="4E505B76" w14:textId="02D28E2B" w:rsidR="00E51896" w:rsidRDefault="00E51896" w:rsidP="0058661A">
      <w:pPr>
        <w:pStyle w:val="UntitledClause"/>
        <w:keepLines/>
      </w:pPr>
      <w:bookmarkStart w:id="6" w:name="a255461"/>
      <w:r>
        <w:t xml:space="preserve">All matters shown in the management accounts of the Company </w:t>
      </w:r>
      <w:r w:rsidR="002801A0">
        <w:t>as at</w:t>
      </w:r>
      <w:r w:rsidR="00CC5F3E">
        <w:t xml:space="preserve"> [</w:t>
      </w:r>
      <w:r w:rsidR="00CC5F3E" w:rsidRPr="00CC5F3E">
        <w:rPr>
          <w:b/>
          <w:bCs/>
          <w:i/>
          <w:iCs/>
        </w:rPr>
        <w:t>DATE</w:t>
      </w:r>
      <w:r w:rsidR="00CC5F3E">
        <w:t>]</w:t>
      </w:r>
      <w:r>
        <w:t>.</w:t>
      </w:r>
      <w:bookmarkEnd w:id="6"/>
    </w:p>
    <w:p w14:paraId="27029464" w14:textId="342DA496" w:rsidR="00E51896" w:rsidRDefault="00E51896" w:rsidP="0058661A">
      <w:pPr>
        <w:pStyle w:val="UntitledClause"/>
        <w:keepLines/>
      </w:pPr>
      <w:bookmarkStart w:id="7" w:name="a397378"/>
      <w:r>
        <w:t>[</w:t>
      </w:r>
      <w:r w:rsidR="00C807D8">
        <w:t xml:space="preserve">All information contained in the copy </w:t>
      </w:r>
      <w:r>
        <w:t>document</w:t>
      </w:r>
      <w:r w:rsidR="00C807D8">
        <w:t xml:space="preserve">s annexed and indexed in the schedule </w:t>
      </w:r>
      <w:r>
        <w:t>to this letter</w:t>
      </w:r>
      <w:bookmarkStart w:id="8" w:name="a413384"/>
      <w:bookmarkEnd w:id="7"/>
      <w:r>
        <w:t>.</w:t>
      </w:r>
      <w:bookmarkEnd w:id="8"/>
      <w:r w:rsidR="00C807D8">
        <w:t>]</w:t>
      </w:r>
      <w:r w:rsidR="00C807D8">
        <w:rPr>
          <w:rStyle w:val="FootnoteReference"/>
        </w:rPr>
        <w:footnoteReference w:id="1"/>
      </w:r>
    </w:p>
    <w:p w14:paraId="6A1B3B30" w14:textId="77777777" w:rsidR="00E51896" w:rsidRDefault="00E51896" w:rsidP="0058661A">
      <w:pPr>
        <w:pStyle w:val="NoNumTitle-Clause"/>
        <w:keepLines/>
        <w:ind w:left="0"/>
      </w:pPr>
      <w:bookmarkStart w:id="9" w:name="a310517"/>
      <w:r>
        <w:t>Specific disclosures</w:t>
      </w:r>
      <w:bookmarkEnd w:id="9"/>
    </w:p>
    <w:p w14:paraId="31BA8E6F" w14:textId="77777777" w:rsidR="00E51896" w:rsidRDefault="00E51896" w:rsidP="0058661A">
      <w:pPr>
        <w:pStyle w:val="NoNumUntitledClause"/>
        <w:keepLines/>
        <w:ind w:left="0"/>
      </w:pPr>
      <w:bookmarkStart w:id="10" w:name="a393160"/>
      <w:r>
        <w:t>The following specific disclosures are made in relation to the Warranties:</w:t>
      </w:r>
      <w:bookmarkEnd w:id="10"/>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269"/>
        <w:gridCol w:w="6071"/>
      </w:tblGrid>
      <w:tr w:rsidR="001442BA" w14:paraId="120E5D89" w14:textId="77777777" w:rsidTr="00611653">
        <w:tc>
          <w:tcPr>
            <w:tcW w:w="1750" w:type="pct"/>
            <w:tcBorders>
              <w:top w:val="single" w:sz="8" w:space="0" w:color="000000"/>
              <w:left w:val="single" w:sz="8" w:space="0" w:color="000000"/>
              <w:bottom w:val="single" w:sz="8" w:space="0" w:color="000000"/>
              <w:right w:val="single" w:sz="8" w:space="0" w:color="000000"/>
            </w:tcBorders>
          </w:tcPr>
          <w:p w14:paraId="5CF704AD" w14:textId="77777777" w:rsidR="00E51896" w:rsidRDefault="00E51896" w:rsidP="0058661A">
            <w:pPr>
              <w:pStyle w:val="Paragraph"/>
              <w:keepNext/>
              <w:keepLines/>
              <w:jc w:val="left"/>
              <w:rPr>
                <w:b/>
              </w:rPr>
            </w:pPr>
            <w:r>
              <w:rPr>
                <w:b/>
              </w:rPr>
              <w:t>Warranty number</w:t>
            </w:r>
          </w:p>
        </w:tc>
        <w:tc>
          <w:tcPr>
            <w:tcW w:w="3250" w:type="pct"/>
            <w:tcBorders>
              <w:top w:val="single" w:sz="8" w:space="0" w:color="000000"/>
              <w:left w:val="single" w:sz="8" w:space="0" w:color="000000"/>
              <w:bottom w:val="single" w:sz="8" w:space="0" w:color="000000"/>
              <w:right w:val="single" w:sz="8" w:space="0" w:color="000000"/>
            </w:tcBorders>
          </w:tcPr>
          <w:p w14:paraId="0B7B3E36" w14:textId="77777777" w:rsidR="00E51896" w:rsidRDefault="00E51896" w:rsidP="0058661A">
            <w:pPr>
              <w:pStyle w:val="Paragraph"/>
              <w:keepNext/>
              <w:keepLines/>
              <w:jc w:val="left"/>
              <w:rPr>
                <w:b/>
              </w:rPr>
            </w:pPr>
            <w:r>
              <w:rPr>
                <w:b/>
              </w:rPr>
              <w:t>Specific disclosure</w:t>
            </w:r>
          </w:p>
        </w:tc>
      </w:tr>
      <w:tr w:rsidR="001442BA" w14:paraId="7A1392BA" w14:textId="77777777" w:rsidTr="00611653">
        <w:tc>
          <w:tcPr>
            <w:tcW w:w="1750" w:type="pct"/>
            <w:tcBorders>
              <w:top w:val="single" w:sz="8" w:space="0" w:color="000000"/>
              <w:left w:val="single" w:sz="8" w:space="0" w:color="000000"/>
              <w:bottom w:val="single" w:sz="8" w:space="0" w:color="000000"/>
              <w:right w:val="single" w:sz="8" w:space="0" w:color="000000"/>
            </w:tcBorders>
          </w:tcPr>
          <w:p w14:paraId="4C2701EC" w14:textId="77777777" w:rsidR="00E51896" w:rsidRDefault="00E51896" w:rsidP="0058661A">
            <w:pPr>
              <w:pStyle w:val="Paragraph"/>
              <w:keepNext/>
              <w:keepLines/>
              <w:jc w:val="left"/>
            </w:pPr>
            <w:r>
              <w:t>[PARAGRAPH NUMBER OF RELEVANT WARRANTY]</w:t>
            </w:r>
          </w:p>
        </w:tc>
        <w:tc>
          <w:tcPr>
            <w:tcW w:w="3250" w:type="pct"/>
            <w:tcBorders>
              <w:top w:val="single" w:sz="8" w:space="0" w:color="000000"/>
              <w:left w:val="single" w:sz="8" w:space="0" w:color="000000"/>
              <w:bottom w:val="single" w:sz="8" w:space="0" w:color="000000"/>
              <w:right w:val="single" w:sz="8" w:space="0" w:color="000000"/>
            </w:tcBorders>
          </w:tcPr>
          <w:p w14:paraId="0F819A92" w14:textId="77777777" w:rsidR="00E51896" w:rsidRDefault="00E51896" w:rsidP="0058661A">
            <w:pPr>
              <w:pStyle w:val="Paragraph"/>
              <w:keepNext/>
              <w:keepLines/>
              <w:jc w:val="left"/>
            </w:pPr>
            <w:r>
              <w:t>[DETAILS OF SPECIFIC DISCLOSURE]</w:t>
            </w:r>
          </w:p>
        </w:tc>
      </w:tr>
    </w:tbl>
    <w:p w14:paraId="5BF0D28B" w14:textId="0CC6777E" w:rsidR="00E51896" w:rsidRDefault="00E51896" w:rsidP="0058661A">
      <w:pPr>
        <w:pStyle w:val="NoNumUntitledClause"/>
        <w:keepLines/>
        <w:ind w:left="0"/>
      </w:pPr>
      <w:bookmarkStart w:id="11" w:name="a475489"/>
      <w:r>
        <w:t>Please acknowledge receipt of this Disclosure Letter by signing, dating and returning the enclosed copy of this letter.</w:t>
      </w:r>
      <w:bookmarkEnd w:id="11"/>
    </w:p>
    <w:p w14:paraId="40CA0AC5" w14:textId="77777777" w:rsidR="00E51896" w:rsidRDefault="00E51896" w:rsidP="0058661A">
      <w:pPr>
        <w:pStyle w:val="ClosingSignOff"/>
        <w:keepNext/>
        <w:keepLines/>
      </w:pPr>
      <w:r>
        <w:t>Yours faithfully,</w:t>
      </w:r>
    </w:p>
    <w:p w14:paraId="6AC46A65" w14:textId="77777777" w:rsidR="00CC5F3E" w:rsidRDefault="00CC5F3E" w:rsidP="0058661A">
      <w:pPr>
        <w:keepNext/>
        <w:keepLines/>
      </w:pPr>
    </w:p>
    <w:p w14:paraId="2EAFC3B0" w14:textId="77777777" w:rsidR="00CC5F3E" w:rsidRDefault="00CC5F3E" w:rsidP="0058661A">
      <w:pPr>
        <w:keepNext/>
        <w:keepLines/>
      </w:pPr>
    </w:p>
    <w:p w14:paraId="7AFC50C8" w14:textId="3F6F5F82" w:rsidR="00CC5F3E" w:rsidRDefault="00CC5F3E" w:rsidP="0058661A">
      <w:pPr>
        <w:keepNext/>
        <w:keepLines/>
      </w:pPr>
      <w:r>
        <w:t>................................................................</w:t>
      </w:r>
    </w:p>
    <w:p w14:paraId="3CB3F202" w14:textId="6845237D" w:rsidR="00CC5F3E" w:rsidRDefault="00CC5F3E" w:rsidP="0058661A">
      <w:pPr>
        <w:keepNext/>
        <w:keepLines/>
      </w:pPr>
      <w:r>
        <w:t>[INSERT NAME OF INDIVIDUAL WARRANTOR]</w:t>
      </w:r>
    </w:p>
    <w:p w14:paraId="158DB736" w14:textId="77777777" w:rsidR="00CC5F3E" w:rsidRDefault="00CC5F3E" w:rsidP="0058661A">
      <w:pPr>
        <w:keepNext/>
        <w:keepLines/>
      </w:pPr>
    </w:p>
    <w:p w14:paraId="2155D366" w14:textId="77777777" w:rsidR="00CC5F3E" w:rsidRDefault="00CC5F3E" w:rsidP="0058661A">
      <w:pPr>
        <w:keepNext/>
        <w:keepLines/>
      </w:pPr>
    </w:p>
    <w:p w14:paraId="1261A422" w14:textId="77777777" w:rsidR="00CC5F3E" w:rsidRDefault="00CC5F3E" w:rsidP="0058661A">
      <w:pPr>
        <w:keepNext/>
        <w:keepLines/>
      </w:pPr>
    </w:p>
    <w:p w14:paraId="75C81695" w14:textId="77777777" w:rsidR="00CC5F3E" w:rsidRDefault="00CC5F3E" w:rsidP="0058661A">
      <w:pPr>
        <w:keepNext/>
        <w:keepLines/>
      </w:pPr>
    </w:p>
    <w:p w14:paraId="5E57F930" w14:textId="46E261A0" w:rsidR="00CC5F3E" w:rsidRDefault="00CC5F3E" w:rsidP="0058661A">
      <w:pPr>
        <w:keepNext/>
        <w:keepLines/>
      </w:pPr>
      <w:r>
        <w:t>................................................................</w:t>
      </w:r>
    </w:p>
    <w:p w14:paraId="6FFF84B2" w14:textId="2F483CF6" w:rsidR="00CC5F3E" w:rsidRDefault="00CC5F3E" w:rsidP="0058661A">
      <w:pPr>
        <w:keepNext/>
        <w:keepLines/>
      </w:pPr>
      <w:r>
        <w:t>[INSERT NAME OF INDIVIDUAL WARRANTOR]</w:t>
      </w:r>
    </w:p>
    <w:p w14:paraId="7749E780" w14:textId="77777777" w:rsidR="00CC5F3E" w:rsidRDefault="00CC5F3E" w:rsidP="0058661A">
      <w:pPr>
        <w:keepNext/>
        <w:keepLines/>
      </w:pPr>
    </w:p>
    <w:p w14:paraId="4C2CF7EF" w14:textId="77777777" w:rsidR="00CC5F3E" w:rsidRDefault="00CC5F3E" w:rsidP="0058661A">
      <w:pPr>
        <w:keepNext/>
        <w:keepLines/>
      </w:pPr>
    </w:p>
    <w:p w14:paraId="7F5A20B2" w14:textId="77777777" w:rsidR="00CC5F3E" w:rsidRDefault="00CC5F3E" w:rsidP="0058661A">
      <w:pPr>
        <w:keepNext/>
        <w:keepLines/>
      </w:pPr>
    </w:p>
    <w:p w14:paraId="40D6912D" w14:textId="77777777" w:rsidR="00CC5F3E" w:rsidRDefault="00CC5F3E" w:rsidP="0058661A">
      <w:pPr>
        <w:keepNext/>
        <w:keepLines/>
      </w:pPr>
    </w:p>
    <w:p w14:paraId="38928DD6" w14:textId="3FA53B09" w:rsidR="00CC5F3E" w:rsidRDefault="00CC5F3E" w:rsidP="0058661A">
      <w:pPr>
        <w:keepNext/>
        <w:keepLines/>
      </w:pPr>
      <w:r>
        <w:t>................................................................</w:t>
      </w:r>
    </w:p>
    <w:p w14:paraId="6958173E" w14:textId="0174BBD4" w:rsidR="00CC5F3E" w:rsidRDefault="00CC5F3E" w:rsidP="0058661A">
      <w:pPr>
        <w:keepNext/>
        <w:keepLines/>
      </w:pPr>
      <w:r>
        <w:t>For and on behalf of [</w:t>
      </w:r>
      <w:r w:rsidRPr="00CC5F3E">
        <w:rPr>
          <w:b/>
          <w:bCs/>
        </w:rPr>
        <w:t>COMPANY</w:t>
      </w:r>
      <w:r>
        <w:t>] Limited</w:t>
      </w:r>
    </w:p>
    <w:p w14:paraId="58C30591" w14:textId="77777777" w:rsidR="00CC5F3E" w:rsidRDefault="00CC5F3E" w:rsidP="0058661A">
      <w:pPr>
        <w:keepNext/>
        <w:keepLines/>
      </w:pPr>
    </w:p>
    <w:p w14:paraId="0249E12C" w14:textId="77777777" w:rsidR="00CC5F3E" w:rsidRDefault="00CC5F3E" w:rsidP="0058661A">
      <w:pPr>
        <w:keepNext/>
        <w:keepLines/>
      </w:pPr>
    </w:p>
    <w:p w14:paraId="6C401945" w14:textId="77777777" w:rsidR="00CC5F3E" w:rsidRDefault="00CC5F3E" w:rsidP="0058661A">
      <w:pPr>
        <w:keepNext/>
        <w:keepLines/>
      </w:pPr>
    </w:p>
    <w:p w14:paraId="471C1829" w14:textId="77777777" w:rsidR="00CC5F3E" w:rsidRDefault="00CC5F3E" w:rsidP="0058661A">
      <w:pPr>
        <w:keepNext/>
        <w:keepLines/>
      </w:pPr>
    </w:p>
    <w:p w14:paraId="6138E554" w14:textId="77777777" w:rsidR="00CC5F3E" w:rsidRDefault="00CC5F3E" w:rsidP="0058661A">
      <w:pPr>
        <w:keepNext/>
        <w:keepLines/>
      </w:pPr>
    </w:p>
    <w:p w14:paraId="738090D1" w14:textId="007939E9" w:rsidR="00CC5F3E" w:rsidRDefault="00CC5F3E" w:rsidP="0058661A">
      <w:pPr>
        <w:keepNext/>
        <w:keepLines/>
      </w:pPr>
      <w:r>
        <w:t>We hereby acknowledge receipt of the Disclosure Letter, of which this is a duplicate.</w:t>
      </w:r>
    </w:p>
    <w:p w14:paraId="27CB3B4B" w14:textId="77777777" w:rsidR="00CC5F3E" w:rsidRDefault="00CC5F3E" w:rsidP="0058661A">
      <w:pPr>
        <w:keepNext/>
        <w:keepLines/>
      </w:pPr>
    </w:p>
    <w:p w14:paraId="5169AD8C" w14:textId="77777777" w:rsidR="00CC5F3E" w:rsidRDefault="00CC5F3E" w:rsidP="0058661A">
      <w:pPr>
        <w:keepNext/>
        <w:keepLines/>
      </w:pPr>
    </w:p>
    <w:p w14:paraId="7426B76E" w14:textId="77777777" w:rsidR="00CC5F3E" w:rsidRDefault="00CC5F3E" w:rsidP="0058661A">
      <w:pPr>
        <w:keepNext/>
        <w:keepLines/>
      </w:pPr>
    </w:p>
    <w:p w14:paraId="256CDB1C" w14:textId="77777777" w:rsidR="00CC5F3E" w:rsidRDefault="00CC5F3E" w:rsidP="0058661A">
      <w:pPr>
        <w:keepNext/>
        <w:keepLines/>
      </w:pPr>
    </w:p>
    <w:p w14:paraId="2640A653" w14:textId="0C57F55E" w:rsidR="00CC5F3E" w:rsidRDefault="00CC5F3E" w:rsidP="0058661A">
      <w:pPr>
        <w:keepNext/>
        <w:keepLines/>
      </w:pPr>
      <w:r>
        <w:t>Signed .....................................................</w:t>
      </w:r>
    </w:p>
    <w:p w14:paraId="005EF4E9" w14:textId="77777777" w:rsidR="00CC5F3E" w:rsidRDefault="00CC5F3E" w:rsidP="0058661A">
      <w:pPr>
        <w:keepNext/>
        <w:keepLines/>
      </w:pPr>
    </w:p>
    <w:p w14:paraId="7BB1C5E2" w14:textId="77777777" w:rsidR="00CC5F3E" w:rsidRDefault="00CC5F3E" w:rsidP="0058661A">
      <w:pPr>
        <w:keepNext/>
        <w:keepLines/>
      </w:pPr>
    </w:p>
    <w:p w14:paraId="1939967F" w14:textId="3A365531" w:rsidR="00CC5F3E" w:rsidRDefault="00CC5F3E" w:rsidP="0058661A">
      <w:pPr>
        <w:keepNext/>
        <w:keepLines/>
      </w:pPr>
      <w:r>
        <w:t>For and on behalf of [</w:t>
      </w:r>
      <w:r w:rsidRPr="00CC5F3E">
        <w:rPr>
          <w:b/>
          <w:bCs/>
          <w:i/>
          <w:iCs/>
        </w:rPr>
        <w:t>INVESTOR</w:t>
      </w:r>
      <w:r>
        <w:t>]</w:t>
      </w:r>
    </w:p>
    <w:p w14:paraId="0A895519" w14:textId="77777777" w:rsidR="00CC5F3E" w:rsidRDefault="00CC5F3E" w:rsidP="0058661A">
      <w:pPr>
        <w:keepNext/>
        <w:keepLines/>
      </w:pPr>
    </w:p>
    <w:p w14:paraId="1BBAC472" w14:textId="77777777" w:rsidR="00CC5F3E" w:rsidRDefault="00CC5F3E" w:rsidP="0058661A">
      <w:pPr>
        <w:keepNext/>
        <w:keepLines/>
      </w:pPr>
    </w:p>
    <w:p w14:paraId="220BED1A" w14:textId="77C81B39" w:rsidR="001442BA" w:rsidRDefault="00CC5F3E" w:rsidP="0058661A">
      <w:pPr>
        <w:keepNext/>
        <w:keepLines/>
      </w:pPr>
      <w:r>
        <w:t>Date ........................................................</w:t>
      </w:r>
    </w:p>
    <w:sectPr w:rsidR="001442BA" w:rsidSect="00674FC8">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C66E2" w14:textId="77777777" w:rsidR="00E51896" w:rsidRDefault="00E51896">
      <w:r>
        <w:separator/>
      </w:r>
    </w:p>
  </w:endnote>
  <w:endnote w:type="continuationSeparator" w:id="0">
    <w:p w14:paraId="66D206E4" w14:textId="77777777" w:rsidR="00E51896" w:rsidRDefault="00E51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52FC1" w14:textId="74B5696D" w:rsidR="0089047E" w:rsidRDefault="00CA1935">
    <w:pPr>
      <w:pStyle w:val="Footer"/>
    </w:pPr>
    <w:r>
      <w:rPr>
        <w:noProof/>
      </w:rPr>
      <mc:AlternateContent>
        <mc:Choice Requires="wps">
          <w:drawing>
            <wp:anchor distT="0" distB="0" distL="0" distR="0" simplePos="0" relativeHeight="251662336" behindDoc="0" locked="0" layoutInCell="1" allowOverlap="1" wp14:anchorId="6E9A825D" wp14:editId="4C88E68B">
              <wp:simplePos x="635" y="635"/>
              <wp:positionH relativeFrom="page">
                <wp:align>center</wp:align>
              </wp:positionH>
              <wp:positionV relativeFrom="page">
                <wp:align>bottom</wp:align>
              </wp:positionV>
              <wp:extent cx="685800" cy="361950"/>
              <wp:effectExtent l="0" t="0" r="0" b="0"/>
              <wp:wrapNone/>
              <wp:docPr id="471286032" name="Text Box 5"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5800" cy="361950"/>
                      </a:xfrm>
                      <a:prstGeom prst="rect">
                        <a:avLst/>
                      </a:prstGeom>
                      <a:noFill/>
                      <a:ln>
                        <a:noFill/>
                      </a:ln>
                    </wps:spPr>
                    <wps:txbx>
                      <w:txbxContent>
                        <w:p w14:paraId="4F374DF4" w14:textId="17B66D39" w:rsidR="00CA1935" w:rsidRPr="00CA1935" w:rsidRDefault="00CA1935" w:rsidP="00CA1935">
                          <w:pPr>
                            <w:rPr>
                              <w:rFonts w:ascii="Calibri" w:eastAsia="Calibri" w:hAnsi="Calibri" w:cs="Calibri"/>
                              <w:noProof/>
                              <w:color w:val="FF8C00"/>
                              <w:sz w:val="22"/>
                              <w:szCs w:val="22"/>
                            </w:rPr>
                          </w:pPr>
                          <w:r w:rsidRPr="00CA1935">
                            <w:rPr>
                              <w:rFonts w:ascii="Calibri" w:eastAsia="Calibri" w:hAnsi="Calibri" w:cs="Calibri"/>
                              <w:noProof/>
                              <w:color w:val="FF8C00"/>
                              <w:sz w:val="22"/>
                              <w:szCs w:val="22"/>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9A825D" id="_x0000_t202" coordsize="21600,21600" o:spt="202" path="m,l,21600r21600,l21600,xe">
              <v:stroke joinstyle="miter"/>
              <v:path gradientshapeok="t" o:connecttype="rect"/>
            </v:shapetype>
            <v:shape id="Text Box 5" o:spid="_x0000_s1028" type="#_x0000_t202" alt="RESTRICTED" style="position:absolute;margin-left:0;margin-top:0;width:54pt;height:28.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" filled="f" stroked="f">
              <v:fill o:detectmouseclick="t"/>
              <v:textbox style="mso-fit-shape-to-text:t" inset="0,0,0,15pt">
                <w:txbxContent>
                  <w:p w14:paraId="4F374DF4" w14:textId="17B66D39" w:rsidR="00CA1935" w:rsidRPr="00CA1935" w:rsidRDefault="00CA1935" w:rsidP="00CA1935">
                    <w:pPr>
                      <w:rPr>
                        <w:rFonts w:ascii="Calibri" w:eastAsia="Calibri" w:hAnsi="Calibri" w:cs="Calibri"/>
                        <w:noProof/>
                        <w:color w:val="FF8C00"/>
                        <w:sz w:val="22"/>
                        <w:szCs w:val="22"/>
                      </w:rPr>
                    </w:pPr>
                    <w:r w:rsidRPr="00CA1935">
                      <w:rPr>
                        <w:rFonts w:ascii="Calibri" w:eastAsia="Calibri" w:hAnsi="Calibri" w:cs="Calibri"/>
                        <w:noProof/>
                        <w:color w:val="FF8C00"/>
                        <w:sz w:val="22"/>
                        <w:szCs w:val="22"/>
                      </w:rPr>
                      <w:t>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5B4AE" w14:textId="3996FF5D" w:rsidR="001442BA" w:rsidRDefault="00CA1935">
    <w:pPr>
      <w:jc w:val="center"/>
    </w:pPr>
    <w:r>
      <w:rPr>
        <w:noProof/>
      </w:rPr>
      <mc:AlternateContent>
        <mc:Choice Requires="wps">
          <w:drawing>
            <wp:anchor distT="0" distB="0" distL="0" distR="0" simplePos="0" relativeHeight="251663360" behindDoc="0" locked="0" layoutInCell="1" allowOverlap="1" wp14:anchorId="70CF6115" wp14:editId="0864C58B">
              <wp:simplePos x="635" y="635"/>
              <wp:positionH relativeFrom="page">
                <wp:align>center</wp:align>
              </wp:positionH>
              <wp:positionV relativeFrom="page">
                <wp:align>bottom</wp:align>
              </wp:positionV>
              <wp:extent cx="685800" cy="361950"/>
              <wp:effectExtent l="0" t="0" r="0" b="0"/>
              <wp:wrapNone/>
              <wp:docPr id="976977635" name="Text Box 6"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5800" cy="361950"/>
                      </a:xfrm>
                      <a:prstGeom prst="rect">
                        <a:avLst/>
                      </a:prstGeom>
                      <a:noFill/>
                      <a:ln>
                        <a:noFill/>
                      </a:ln>
                    </wps:spPr>
                    <wps:txbx>
                      <w:txbxContent>
                        <w:p w14:paraId="230F1B80" w14:textId="159ECE80" w:rsidR="00CA1935" w:rsidRPr="00CA1935" w:rsidRDefault="00CA1935" w:rsidP="00CA1935">
                          <w:pPr>
                            <w:rPr>
                              <w:rFonts w:ascii="Calibri" w:eastAsia="Calibri" w:hAnsi="Calibri" w:cs="Calibri"/>
                              <w:noProof/>
                              <w:color w:val="FF8C00"/>
                              <w:sz w:val="22"/>
                              <w:szCs w:val="22"/>
                            </w:rPr>
                          </w:pPr>
                          <w:r w:rsidRPr="00CA1935">
                            <w:rPr>
                              <w:rFonts w:ascii="Calibri" w:eastAsia="Calibri" w:hAnsi="Calibri" w:cs="Calibri"/>
                              <w:noProof/>
                              <w:color w:val="FF8C00"/>
                              <w:sz w:val="22"/>
                              <w:szCs w:val="22"/>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CF6115" id="_x0000_t202" coordsize="21600,21600" o:spt="202" path="m,l,21600r21600,l21600,xe">
              <v:stroke joinstyle="miter"/>
              <v:path gradientshapeok="t" o:connecttype="rect"/>
            </v:shapetype>
            <v:shape id="Text Box 6" o:spid="_x0000_s1029" type="#_x0000_t202" alt="RESTRICTED" style="position:absolute;left:0;text-align:left;margin-left:0;margin-top:0;width:54pt;height:28.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" filled="f" stroked="f">
              <v:fill o:detectmouseclick="t"/>
              <v:textbox style="mso-fit-shape-to-text:t" inset="0,0,0,15pt">
                <w:txbxContent>
                  <w:p w14:paraId="230F1B80" w14:textId="159ECE80" w:rsidR="00CA1935" w:rsidRPr="00CA1935" w:rsidRDefault="00CA1935" w:rsidP="00CA1935">
                    <w:pPr>
                      <w:rPr>
                        <w:rFonts w:ascii="Calibri" w:eastAsia="Calibri" w:hAnsi="Calibri" w:cs="Calibri"/>
                        <w:noProof/>
                        <w:color w:val="FF8C00"/>
                        <w:sz w:val="22"/>
                        <w:szCs w:val="22"/>
                      </w:rPr>
                    </w:pPr>
                    <w:r w:rsidRPr="00CA1935">
                      <w:rPr>
                        <w:rFonts w:ascii="Calibri" w:eastAsia="Calibri" w:hAnsi="Calibri" w:cs="Calibri"/>
                        <w:noProof/>
                        <w:color w:val="FF8C00"/>
                        <w:sz w:val="22"/>
                        <w:szCs w:val="22"/>
                      </w:rPr>
                      <w:t>RESTRICTED</w:t>
                    </w:r>
                  </w:p>
                </w:txbxContent>
              </v:textbox>
              <w10:wrap anchorx="page" anchory="page"/>
            </v:shape>
          </w:pict>
        </mc:Fallback>
      </mc:AlternateContent>
    </w:r>
    <w:r w:rsidR="00E51896">
      <w:fldChar w:fldCharType="begin"/>
    </w:r>
    <w:r w:rsidR="00E51896">
      <w:instrText>PAGE</w:instrText>
    </w:r>
    <w:r w:rsidR="00E51896">
      <w:fldChar w:fldCharType="separate"/>
    </w:r>
    <w:r w:rsidR="00E51896">
      <w:t>5</w:t>
    </w:r>
    <w:r w:rsidR="00E51896">
      <w:fldChar w:fldCharType="end"/>
    </w:r>
  </w:p>
  <w:p w14:paraId="70ED9822" w14:textId="5D537239" w:rsidR="0051298B" w:rsidRDefault="004D234D" w:rsidP="0051298B">
    <w:pPr>
      <w:jc w:val="center"/>
    </w:pPr>
    <w:fldSimple w:instr="DOCPROPERTY iManageFooter \* MERGEFORMAT">
      <w:r w:rsidR="00135F40">
        <w:t>#60727511 v3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0FCC1" w14:textId="46ABD3BC" w:rsidR="0089047E" w:rsidRDefault="00CA1935">
    <w:pPr>
      <w:pStyle w:val="Footer"/>
    </w:pPr>
    <w:r>
      <w:rPr>
        <w:noProof/>
      </w:rPr>
      <mc:AlternateContent>
        <mc:Choice Requires="wps">
          <w:drawing>
            <wp:anchor distT="0" distB="0" distL="0" distR="0" simplePos="0" relativeHeight="251661312" behindDoc="0" locked="0" layoutInCell="1" allowOverlap="1" wp14:anchorId="48E6B1EE" wp14:editId="6C6AAC6B">
              <wp:simplePos x="635" y="635"/>
              <wp:positionH relativeFrom="page">
                <wp:align>center</wp:align>
              </wp:positionH>
              <wp:positionV relativeFrom="page">
                <wp:align>bottom</wp:align>
              </wp:positionV>
              <wp:extent cx="685800" cy="361950"/>
              <wp:effectExtent l="0" t="0" r="0" b="0"/>
              <wp:wrapNone/>
              <wp:docPr id="671331128" name="Text Box 4"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5800" cy="361950"/>
                      </a:xfrm>
                      <a:prstGeom prst="rect">
                        <a:avLst/>
                      </a:prstGeom>
                      <a:noFill/>
                      <a:ln>
                        <a:noFill/>
                      </a:ln>
                    </wps:spPr>
                    <wps:txbx>
                      <w:txbxContent>
                        <w:p w14:paraId="24DF0243" w14:textId="1A6694E4" w:rsidR="00CA1935" w:rsidRPr="00CA1935" w:rsidRDefault="00CA1935" w:rsidP="00CA1935">
                          <w:pPr>
                            <w:rPr>
                              <w:rFonts w:ascii="Calibri" w:eastAsia="Calibri" w:hAnsi="Calibri" w:cs="Calibri"/>
                              <w:noProof/>
                              <w:color w:val="FF8C00"/>
                              <w:sz w:val="22"/>
                              <w:szCs w:val="22"/>
                            </w:rPr>
                          </w:pPr>
                          <w:r w:rsidRPr="00CA1935">
                            <w:rPr>
                              <w:rFonts w:ascii="Calibri" w:eastAsia="Calibri" w:hAnsi="Calibri" w:cs="Calibri"/>
                              <w:noProof/>
                              <w:color w:val="FF8C00"/>
                              <w:sz w:val="22"/>
                              <w:szCs w:val="22"/>
                            </w:rPr>
                            <w:t>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E6B1EE" id="_x0000_t202" coordsize="21600,21600" o:spt="202" path="m,l,21600r21600,l21600,xe">
              <v:stroke joinstyle="miter"/>
              <v:path gradientshapeok="t" o:connecttype="rect"/>
            </v:shapetype>
            <v:shape id="Text Box 4" o:spid="_x0000_s1031" type="#_x0000_t202" alt="RESTRICTED" style="position:absolute;margin-left:0;margin-top:0;width:54pt;height:28.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" filled="f" stroked="f">
              <v:fill o:detectmouseclick="t"/>
              <v:textbox style="mso-fit-shape-to-text:t" inset="0,0,0,15pt">
                <w:txbxContent>
                  <w:p w14:paraId="24DF0243" w14:textId="1A6694E4" w:rsidR="00CA1935" w:rsidRPr="00CA1935" w:rsidRDefault="00CA1935" w:rsidP="00CA1935">
                    <w:pPr>
                      <w:rPr>
                        <w:rFonts w:ascii="Calibri" w:eastAsia="Calibri" w:hAnsi="Calibri" w:cs="Calibri"/>
                        <w:noProof/>
                        <w:color w:val="FF8C00"/>
                        <w:sz w:val="22"/>
                        <w:szCs w:val="22"/>
                      </w:rPr>
                    </w:pPr>
                    <w:r w:rsidRPr="00CA1935">
                      <w:rPr>
                        <w:rFonts w:ascii="Calibri" w:eastAsia="Calibri" w:hAnsi="Calibri" w:cs="Calibri"/>
                        <w:noProof/>
                        <w:color w:val="FF8C00"/>
                        <w:sz w:val="22"/>
                        <w:szCs w:val="22"/>
                      </w:rPr>
                      <w:t>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6C2EA" w14:textId="77777777" w:rsidR="00E51896" w:rsidRDefault="00E51896">
      <w:r>
        <w:separator/>
      </w:r>
    </w:p>
  </w:footnote>
  <w:footnote w:type="continuationSeparator" w:id="0">
    <w:p w14:paraId="5764506F" w14:textId="77777777" w:rsidR="00E51896" w:rsidRDefault="00E51896">
      <w:r>
        <w:continuationSeparator/>
      </w:r>
    </w:p>
  </w:footnote>
  <w:footnote w:id="1">
    <w:p w14:paraId="560FDEF7" w14:textId="053C6C5B" w:rsidR="00C807D8" w:rsidRDefault="00C807D8">
      <w:pPr>
        <w:pStyle w:val="FootnoteText"/>
      </w:pPr>
      <w:r>
        <w:rPr>
          <w:rStyle w:val="FootnoteReference"/>
        </w:rPr>
        <w:footnoteRef/>
      </w:r>
      <w:r>
        <w:t xml:space="preserve"> </w:t>
      </w:r>
      <w:r w:rsidRPr="0058661A">
        <w:rPr>
          <w:b/>
          <w:bCs/>
        </w:rPr>
        <w:t>Note</w:t>
      </w:r>
      <w:r>
        <w:t>: The Company may want to disclose certain</w:t>
      </w:r>
      <w:r w:rsidR="0058661A">
        <w:t xml:space="preserve"> inform</w:t>
      </w:r>
      <w:r>
        <w:t>ation (including completed investment questionnaires) by attaching them to this letter or hosted electronically. This clause to be</w:t>
      </w:r>
      <w:r w:rsidR="0058661A">
        <w:t xml:space="preserve"> updated accordingly.</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31F9" w14:textId="6636DBA1" w:rsidR="0089047E" w:rsidRDefault="00CA1935">
    <w:pPr>
      <w:pStyle w:val="Header"/>
    </w:pPr>
    <w:r>
      <w:rPr>
        <w:noProof/>
      </w:rPr>
      <mc:AlternateContent>
        <mc:Choice Requires="wps">
          <w:drawing>
            <wp:anchor distT="0" distB="0" distL="0" distR="0" simplePos="0" relativeHeight="251659264" behindDoc="0" locked="0" layoutInCell="1" allowOverlap="1" wp14:anchorId="619492D7" wp14:editId="5E8ED8C2">
              <wp:simplePos x="635" y="635"/>
              <wp:positionH relativeFrom="page">
                <wp:align>center</wp:align>
              </wp:positionH>
              <wp:positionV relativeFrom="page">
                <wp:align>top</wp:align>
              </wp:positionV>
              <wp:extent cx="685800" cy="361950"/>
              <wp:effectExtent l="0" t="0" r="0" b="0"/>
              <wp:wrapNone/>
              <wp:docPr id="1826755474" name="Text Box 2"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5800" cy="361950"/>
                      </a:xfrm>
                      <a:prstGeom prst="rect">
                        <a:avLst/>
                      </a:prstGeom>
                      <a:noFill/>
                      <a:ln>
                        <a:noFill/>
                      </a:ln>
                    </wps:spPr>
                    <wps:txbx>
                      <w:txbxContent>
                        <w:p w14:paraId="0C7553FF" w14:textId="0C241038" w:rsidR="00CA1935" w:rsidRPr="00CA1935" w:rsidRDefault="00CA1935" w:rsidP="00CA1935">
                          <w:pPr>
                            <w:rPr>
                              <w:rFonts w:ascii="Calibri" w:eastAsia="Calibri" w:hAnsi="Calibri" w:cs="Calibri"/>
                              <w:noProof/>
                              <w:color w:val="FF8C00"/>
                              <w:sz w:val="22"/>
                              <w:szCs w:val="22"/>
                            </w:rPr>
                          </w:pPr>
                          <w:r w:rsidRPr="00CA1935">
                            <w:rPr>
                              <w:rFonts w:ascii="Calibri" w:eastAsia="Calibri" w:hAnsi="Calibri" w:cs="Calibri"/>
                              <w:noProof/>
                              <w:color w:val="FF8C00"/>
                              <w:sz w:val="22"/>
                              <w:szCs w:val="22"/>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9492D7" id="_x0000_t202" coordsize="21600,21600" o:spt="202" path="m,l,21600r21600,l21600,xe">
              <v:stroke joinstyle="miter"/>
              <v:path gradientshapeok="t" o:connecttype="rect"/>
            </v:shapetype>
            <v:shape id="Text Box 2" o:spid="_x0000_s1026" type="#_x0000_t202" alt="RESTRICTED" style="position:absolute;margin-left:0;margin-top:0;width:54pt;height:28.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" filled="f" stroked="f">
              <v:fill o:detectmouseclick="t"/>
              <v:textbox style="mso-fit-shape-to-text:t" inset="0,15pt,0,0">
                <w:txbxContent>
                  <w:p w14:paraId="0C7553FF" w14:textId="0C241038" w:rsidR="00CA1935" w:rsidRPr="00CA1935" w:rsidRDefault="00CA1935" w:rsidP="00CA1935">
                    <w:pPr>
                      <w:rPr>
                        <w:rFonts w:ascii="Calibri" w:eastAsia="Calibri" w:hAnsi="Calibri" w:cs="Calibri"/>
                        <w:noProof/>
                        <w:color w:val="FF8C00"/>
                        <w:sz w:val="22"/>
                        <w:szCs w:val="22"/>
                      </w:rPr>
                    </w:pPr>
                    <w:r w:rsidRPr="00CA1935">
                      <w:rPr>
                        <w:rFonts w:ascii="Calibri" w:eastAsia="Calibri" w:hAnsi="Calibri" w:cs="Calibri"/>
                        <w:noProof/>
                        <w:color w:val="FF8C00"/>
                        <w:sz w:val="22"/>
                        <w:szCs w:val="22"/>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09927" w14:textId="0F9376BD" w:rsidR="0089047E" w:rsidRDefault="00CA1935">
    <w:pPr>
      <w:pStyle w:val="Header"/>
    </w:pPr>
    <w:r>
      <w:rPr>
        <w:noProof/>
      </w:rPr>
      <mc:AlternateContent>
        <mc:Choice Requires="wps">
          <w:drawing>
            <wp:anchor distT="0" distB="0" distL="0" distR="0" simplePos="0" relativeHeight="251660288" behindDoc="0" locked="0" layoutInCell="1" allowOverlap="1" wp14:anchorId="273ED9F3" wp14:editId="5E955221">
              <wp:simplePos x="635" y="635"/>
              <wp:positionH relativeFrom="page">
                <wp:align>center</wp:align>
              </wp:positionH>
              <wp:positionV relativeFrom="page">
                <wp:align>top</wp:align>
              </wp:positionV>
              <wp:extent cx="685800" cy="361950"/>
              <wp:effectExtent l="0" t="0" r="0" b="0"/>
              <wp:wrapNone/>
              <wp:docPr id="166202611" name="Text Box 3"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5800" cy="361950"/>
                      </a:xfrm>
                      <a:prstGeom prst="rect">
                        <a:avLst/>
                      </a:prstGeom>
                      <a:noFill/>
                      <a:ln>
                        <a:noFill/>
                      </a:ln>
                    </wps:spPr>
                    <wps:txbx>
                      <w:txbxContent>
                        <w:p w14:paraId="28F16CB6" w14:textId="50E43A17" w:rsidR="00CA1935" w:rsidRPr="00CA1935" w:rsidRDefault="00CA1935" w:rsidP="00CA1935">
                          <w:pPr>
                            <w:rPr>
                              <w:rFonts w:ascii="Calibri" w:eastAsia="Calibri" w:hAnsi="Calibri" w:cs="Calibri"/>
                              <w:noProof/>
                              <w:color w:val="FF8C00"/>
                              <w:sz w:val="22"/>
                              <w:szCs w:val="22"/>
                            </w:rPr>
                          </w:pPr>
                          <w:r w:rsidRPr="00CA1935">
                            <w:rPr>
                              <w:rFonts w:ascii="Calibri" w:eastAsia="Calibri" w:hAnsi="Calibri" w:cs="Calibri"/>
                              <w:noProof/>
                              <w:color w:val="FF8C00"/>
                              <w:sz w:val="22"/>
                              <w:szCs w:val="22"/>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3ED9F3" id="_x0000_t202" coordsize="21600,21600" o:spt="202" path="m,l,21600r21600,l21600,xe">
              <v:stroke joinstyle="miter"/>
              <v:path gradientshapeok="t" o:connecttype="rect"/>
            </v:shapetype>
            <v:shape id="Text Box 3" o:spid="_x0000_s1027" type="#_x0000_t202" alt="RESTRICTED" style="position:absolute;margin-left:0;margin-top:0;width:54pt;height:28.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" filled="f" stroked="f">
              <v:fill o:detectmouseclick="t"/>
              <v:textbox style="mso-fit-shape-to-text:t" inset="0,15pt,0,0">
                <w:txbxContent>
                  <w:p w14:paraId="28F16CB6" w14:textId="50E43A17" w:rsidR="00CA1935" w:rsidRPr="00CA1935" w:rsidRDefault="00CA1935" w:rsidP="00CA1935">
                    <w:pPr>
                      <w:rPr>
                        <w:rFonts w:ascii="Calibri" w:eastAsia="Calibri" w:hAnsi="Calibri" w:cs="Calibri"/>
                        <w:noProof/>
                        <w:color w:val="FF8C00"/>
                        <w:sz w:val="22"/>
                        <w:szCs w:val="22"/>
                      </w:rPr>
                    </w:pPr>
                    <w:r w:rsidRPr="00CA1935">
                      <w:rPr>
                        <w:rFonts w:ascii="Calibri" w:eastAsia="Calibri" w:hAnsi="Calibri" w:cs="Calibri"/>
                        <w:noProof/>
                        <w:color w:val="FF8C00"/>
                        <w:sz w:val="22"/>
                        <w:szCs w:val="22"/>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C056" w14:textId="4B0199E7" w:rsidR="0089047E" w:rsidRDefault="00CA1935">
    <w:pPr>
      <w:pStyle w:val="Header"/>
    </w:pPr>
    <w:r>
      <w:rPr>
        <w:noProof/>
      </w:rPr>
      <mc:AlternateContent>
        <mc:Choice Requires="wps">
          <w:drawing>
            <wp:anchor distT="0" distB="0" distL="0" distR="0" simplePos="0" relativeHeight="251658240" behindDoc="0" locked="0" layoutInCell="1" allowOverlap="1" wp14:anchorId="177A1347" wp14:editId="4354F977">
              <wp:simplePos x="635" y="635"/>
              <wp:positionH relativeFrom="page">
                <wp:align>center</wp:align>
              </wp:positionH>
              <wp:positionV relativeFrom="page">
                <wp:align>top</wp:align>
              </wp:positionV>
              <wp:extent cx="685800" cy="361950"/>
              <wp:effectExtent l="0" t="0" r="0" b="0"/>
              <wp:wrapNone/>
              <wp:docPr id="1836601578" name="Text Box 1"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5800" cy="361950"/>
                      </a:xfrm>
                      <a:prstGeom prst="rect">
                        <a:avLst/>
                      </a:prstGeom>
                      <a:noFill/>
                      <a:ln>
                        <a:noFill/>
                      </a:ln>
                    </wps:spPr>
                    <wps:txbx>
                      <w:txbxContent>
                        <w:p w14:paraId="605C4D07" w14:textId="5003F82F" w:rsidR="00CA1935" w:rsidRPr="00CA1935" w:rsidRDefault="00CA1935" w:rsidP="00CA1935">
                          <w:pPr>
                            <w:rPr>
                              <w:rFonts w:ascii="Calibri" w:eastAsia="Calibri" w:hAnsi="Calibri" w:cs="Calibri"/>
                              <w:noProof/>
                              <w:color w:val="FF8C00"/>
                              <w:sz w:val="22"/>
                              <w:szCs w:val="22"/>
                            </w:rPr>
                          </w:pPr>
                          <w:r w:rsidRPr="00CA1935">
                            <w:rPr>
                              <w:rFonts w:ascii="Calibri" w:eastAsia="Calibri" w:hAnsi="Calibri" w:cs="Calibri"/>
                              <w:noProof/>
                              <w:color w:val="FF8C00"/>
                              <w:sz w:val="22"/>
                              <w:szCs w:val="22"/>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7A1347" id="_x0000_t202" coordsize="21600,21600" o:spt="202" path="m,l,21600r21600,l21600,xe">
              <v:stroke joinstyle="miter"/>
              <v:path gradientshapeok="t" o:connecttype="rect"/>
            </v:shapetype>
            <v:shape id="Text Box 1" o:spid="_x0000_s1030" type="#_x0000_t202" alt="RESTRICTED" style="position:absolute;margin-left:0;margin-top:0;width:54pt;height:28.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" filled="f" stroked="f">
              <v:fill o:detectmouseclick="t"/>
              <v:textbox style="mso-fit-shape-to-text:t" inset="0,15pt,0,0">
                <w:txbxContent>
                  <w:p w14:paraId="605C4D07" w14:textId="5003F82F" w:rsidR="00CA1935" w:rsidRPr="00CA1935" w:rsidRDefault="00CA1935" w:rsidP="00CA1935">
                    <w:pPr>
                      <w:rPr>
                        <w:rFonts w:ascii="Calibri" w:eastAsia="Calibri" w:hAnsi="Calibri" w:cs="Calibri"/>
                        <w:noProof/>
                        <w:color w:val="FF8C00"/>
                        <w:sz w:val="22"/>
                        <w:szCs w:val="22"/>
                      </w:rPr>
                    </w:pPr>
                    <w:r w:rsidRPr="00CA1935">
                      <w:rPr>
                        <w:rFonts w:ascii="Calibri" w:eastAsia="Calibri" w:hAnsi="Calibri" w:cs="Calibri"/>
                        <w:noProof/>
                        <w:color w:val="FF8C00"/>
                        <w:sz w:val="22"/>
                        <w:szCs w:val="22"/>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AAFF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308A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30F6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24C9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B0A60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2CC8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B6D7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679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3867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06FF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207B8"/>
    <w:multiLevelType w:val="multilevel"/>
    <w:tmpl w:val="AF82C044"/>
    <w:name w:val="Annexure"/>
    <w:lvl w:ilvl="0">
      <w:start w:val="1"/>
      <w:numFmt w:val="decimal"/>
      <w:pStyle w:val="Annexure"/>
      <w:suff w:val="nothing"/>
      <w:lvlText w:val="Annexure %1"/>
      <w:lvlJc w:val="left"/>
      <w:pPr>
        <w:ind w:left="0" w:firstLine="0"/>
      </w:pPr>
      <w:rPr>
        <w:rFonts w:hint="default"/>
        <w:caps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rPr>
    </w:lvl>
    <w:lvl w:ilvl="3">
      <w:start w:val="1"/>
      <w:numFmt w:val="lowerRoman"/>
      <w:pStyle w:val="Untitledsubclause3"/>
      <w:lvlText w:val="(%4)"/>
      <w:lvlJc w:val="left"/>
      <w:pPr>
        <w:tabs>
          <w:tab w:val="num" w:pos="2419"/>
        </w:tabs>
        <w:ind w:left="2275" w:hanging="576"/>
      </w:pPr>
      <w:rPr>
        <w:rFonts w:hint="default"/>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7253412"/>
    <w:multiLevelType w:val="hybridMultilevel"/>
    <w:tmpl w:val="960CC850"/>
    <w:lvl w:ilvl="0" w:tplc="9924A8DC">
      <w:start w:val="1"/>
      <w:numFmt w:val="bullet"/>
      <w:pStyle w:val="DefinedTermBullet"/>
      <w:lvlText w:val=""/>
      <w:lvlJc w:val="left"/>
      <w:pPr>
        <w:ind w:left="1440" w:hanging="360"/>
      </w:pPr>
      <w:rPr>
        <w:rFonts w:ascii="Symbol" w:hAnsi="Symbol" w:hint="default"/>
        <w:color w:val="000000"/>
      </w:rPr>
    </w:lvl>
    <w:lvl w:ilvl="1" w:tplc="7CFC3ABA" w:tentative="1">
      <w:start w:val="1"/>
      <w:numFmt w:val="bullet"/>
      <w:lvlText w:val="o"/>
      <w:lvlJc w:val="left"/>
      <w:pPr>
        <w:ind w:left="2160" w:hanging="360"/>
      </w:pPr>
      <w:rPr>
        <w:rFonts w:ascii="Courier New" w:hAnsi="Courier New" w:cs="Courier New" w:hint="default"/>
      </w:rPr>
    </w:lvl>
    <w:lvl w:ilvl="2" w:tplc="4A7490BC" w:tentative="1">
      <w:start w:val="1"/>
      <w:numFmt w:val="bullet"/>
      <w:lvlText w:val=""/>
      <w:lvlJc w:val="left"/>
      <w:pPr>
        <w:ind w:left="2880" w:hanging="360"/>
      </w:pPr>
      <w:rPr>
        <w:rFonts w:ascii="Wingdings" w:hAnsi="Wingdings" w:hint="default"/>
      </w:rPr>
    </w:lvl>
    <w:lvl w:ilvl="3" w:tplc="FD3ED612" w:tentative="1">
      <w:start w:val="1"/>
      <w:numFmt w:val="bullet"/>
      <w:lvlText w:val=""/>
      <w:lvlJc w:val="left"/>
      <w:pPr>
        <w:ind w:left="3600" w:hanging="360"/>
      </w:pPr>
      <w:rPr>
        <w:rFonts w:ascii="Symbol" w:hAnsi="Symbol" w:hint="default"/>
      </w:rPr>
    </w:lvl>
    <w:lvl w:ilvl="4" w:tplc="EAC42A28" w:tentative="1">
      <w:start w:val="1"/>
      <w:numFmt w:val="bullet"/>
      <w:lvlText w:val="o"/>
      <w:lvlJc w:val="left"/>
      <w:pPr>
        <w:ind w:left="4320" w:hanging="360"/>
      </w:pPr>
      <w:rPr>
        <w:rFonts w:ascii="Courier New" w:hAnsi="Courier New" w:cs="Courier New" w:hint="default"/>
      </w:rPr>
    </w:lvl>
    <w:lvl w:ilvl="5" w:tplc="CD5A825C" w:tentative="1">
      <w:start w:val="1"/>
      <w:numFmt w:val="bullet"/>
      <w:lvlText w:val=""/>
      <w:lvlJc w:val="left"/>
      <w:pPr>
        <w:ind w:left="5040" w:hanging="360"/>
      </w:pPr>
      <w:rPr>
        <w:rFonts w:ascii="Wingdings" w:hAnsi="Wingdings" w:hint="default"/>
      </w:rPr>
    </w:lvl>
    <w:lvl w:ilvl="6" w:tplc="68E6A70E" w:tentative="1">
      <w:start w:val="1"/>
      <w:numFmt w:val="bullet"/>
      <w:lvlText w:val=""/>
      <w:lvlJc w:val="left"/>
      <w:pPr>
        <w:ind w:left="5760" w:hanging="360"/>
      </w:pPr>
      <w:rPr>
        <w:rFonts w:ascii="Symbol" w:hAnsi="Symbol" w:hint="default"/>
      </w:rPr>
    </w:lvl>
    <w:lvl w:ilvl="7" w:tplc="5F245798" w:tentative="1">
      <w:start w:val="1"/>
      <w:numFmt w:val="bullet"/>
      <w:lvlText w:val="o"/>
      <w:lvlJc w:val="left"/>
      <w:pPr>
        <w:ind w:left="6480" w:hanging="360"/>
      </w:pPr>
      <w:rPr>
        <w:rFonts w:ascii="Courier New" w:hAnsi="Courier New" w:cs="Courier New" w:hint="default"/>
      </w:rPr>
    </w:lvl>
    <w:lvl w:ilvl="8" w:tplc="E5C8B86A" w:tentative="1">
      <w:start w:val="1"/>
      <w:numFmt w:val="bullet"/>
      <w:lvlText w:val=""/>
      <w:lvlJc w:val="left"/>
      <w:pPr>
        <w:ind w:left="7200" w:hanging="360"/>
      </w:pPr>
      <w:rPr>
        <w:rFonts w:ascii="Wingdings" w:hAnsi="Wingdings" w:hint="default"/>
      </w:rPr>
    </w:lvl>
  </w:abstractNum>
  <w:abstractNum w:abstractNumId="13" w15:restartNumberingAfterBreak="0">
    <w:nsid w:val="07253DDD"/>
    <w:multiLevelType w:val="multilevel"/>
    <w:tmpl w:val="796EF836"/>
    <w:name w:val="Parties"/>
    <w:lvl w:ilvl="0">
      <w:start w:val="1"/>
      <w:numFmt w:val="decimal"/>
      <w:pStyle w:val="Parties"/>
      <w:lvlText w:val="(%1)"/>
      <w:lvlJc w:val="left"/>
      <w:pPr>
        <w:tabs>
          <w:tab w:val="num" w:pos="851"/>
        </w:tabs>
        <w:ind w:left="851" w:hanging="851"/>
      </w:pPr>
      <w:rPr>
        <w:rFonts w:ascii="Arial" w:hAnsi="Arial" w:cs="Times New Roman" w:hint="default"/>
        <w:kern w:val="0"/>
        <w:sz w:val="20"/>
        <w:u w:val="none"/>
      </w:rPr>
    </w:lvl>
    <w:lvl w:ilvl="1">
      <w:start w:val="1"/>
      <w:numFmt w:val="none"/>
      <w:suff w:val="nothing"/>
      <w:lvlText w:val=""/>
      <w:lvlJc w:val="left"/>
      <w:pPr>
        <w:ind w:left="0" w:firstLine="0"/>
      </w:pPr>
      <w:rPr>
        <w:rFonts w:ascii="Arial" w:hAnsi="Arial" w:cs="Times New Roman" w:hint="default"/>
        <w:b/>
        <w:i w:val="0"/>
        <w:sz w:val="21"/>
      </w:rPr>
    </w:lvl>
    <w:lvl w:ilvl="2">
      <w:start w:val="1"/>
      <w:numFmt w:val="none"/>
      <w:suff w:val="nothing"/>
      <w:lvlText w:val=""/>
      <w:lvlJc w:val="left"/>
      <w:pPr>
        <w:ind w:left="0" w:firstLine="0"/>
      </w:pPr>
      <w:rPr>
        <w:rFonts w:ascii="Arial" w:hAnsi="Arial" w:cs="Times New Roman" w:hint="default"/>
        <w:sz w:val="21"/>
      </w:rPr>
    </w:lvl>
    <w:lvl w:ilvl="3">
      <w:start w:val="1"/>
      <w:numFmt w:val="none"/>
      <w:suff w:val="nothing"/>
      <w:lvlText w:val=""/>
      <w:lvlJc w:val="left"/>
      <w:pPr>
        <w:ind w:left="0" w:firstLine="0"/>
      </w:pPr>
      <w:rPr>
        <w:rFonts w:ascii="Arial" w:hAnsi="Arial" w:cs="Times New Roman" w:hint="default"/>
        <w:sz w:val="21"/>
      </w:rPr>
    </w:lvl>
    <w:lvl w:ilvl="4">
      <w:start w:val="1"/>
      <w:numFmt w:val="none"/>
      <w:suff w:val="nothing"/>
      <w:lvlText w:val=""/>
      <w:lvlJc w:val="left"/>
      <w:pPr>
        <w:ind w:left="0" w:firstLine="0"/>
      </w:pPr>
      <w:rPr>
        <w:rFonts w:ascii="Arial" w:hAnsi="Arial" w:cs="Times New Roman" w:hint="default"/>
        <w:sz w:val="21"/>
      </w:rPr>
    </w:lvl>
    <w:lvl w:ilvl="5">
      <w:start w:val="27"/>
      <w:numFmt w:val="none"/>
      <w:suff w:val="nothing"/>
      <w:lvlText w:val=""/>
      <w:lvlJc w:val="left"/>
      <w:pPr>
        <w:ind w:left="0" w:firstLine="0"/>
      </w:pPr>
      <w:rPr>
        <w:rFonts w:ascii="Arial" w:hAnsi="Arial" w:cs="Times New Roman" w:hint="default"/>
        <w:sz w:val="21"/>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4" w15:restartNumberingAfterBreak="0">
    <w:nsid w:val="0CEE40C4"/>
    <w:multiLevelType w:val="multilevel"/>
    <w:tmpl w:val="0809001D"/>
    <w:lvl w:ilvl="0">
      <w:start w:val="1"/>
      <w:numFmt w:val="decimal"/>
      <w:lvlText w:val="%1)"/>
      <w:lvlJc w:val="left"/>
      <w:pPr>
        <w:ind w:left="360" w:hanging="360"/>
      </w:pPr>
      <w:rPr>
        <w:rFonts w:ascii="Times New Roman" w:hAnsi="Times New Roman" w:cs="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CFA0FF5"/>
    <w:multiLevelType w:val="multilevel"/>
    <w:tmpl w:val="3FB08CB2"/>
    <w:name w:val="Bullet No Space"/>
    <w:lvl w:ilvl="0">
      <w:start w:val="1"/>
      <w:numFmt w:val="bullet"/>
      <w:pStyle w:val="BulletList1"/>
      <w:lvlText w:val=""/>
      <w:lvlJc w:val="left"/>
      <w:pPr>
        <w:tabs>
          <w:tab w:val="num" w:pos="851"/>
        </w:tabs>
        <w:ind w:left="851" w:hanging="851"/>
      </w:pPr>
      <w:rPr>
        <w:rFonts w:ascii="Symbol" w:hAnsi="Symbol" w:hint="default"/>
        <w:b w:val="0"/>
        <w:i w:val="0"/>
        <w:color w:val="auto"/>
        <w:kern w:val="0"/>
        <w:sz w:val="22"/>
      </w:rPr>
    </w:lvl>
    <w:lvl w:ilvl="1">
      <w:start w:val="1"/>
      <w:numFmt w:val="bullet"/>
      <w:pStyle w:val="BulletList2"/>
      <w:lvlText w:val=""/>
      <w:lvlJc w:val="left"/>
      <w:pPr>
        <w:tabs>
          <w:tab w:val="num" w:pos="1701"/>
        </w:tabs>
        <w:ind w:left="1701" w:hanging="850"/>
      </w:pPr>
      <w:rPr>
        <w:rFonts w:ascii="Symbol" w:hAnsi="Symbol" w:hint="default"/>
        <w:b w:val="0"/>
        <w:i w:val="0"/>
        <w:color w:val="auto"/>
        <w:sz w:val="21"/>
      </w:rPr>
    </w:lvl>
    <w:lvl w:ilvl="2">
      <w:start w:val="1"/>
      <w:numFmt w:val="bullet"/>
      <w:pStyle w:val="BulletList3"/>
      <w:lvlText w:val=""/>
      <w:lvlJc w:val="left"/>
      <w:pPr>
        <w:tabs>
          <w:tab w:val="num" w:pos="2552"/>
        </w:tabs>
        <w:ind w:left="2552" w:hanging="851"/>
      </w:pPr>
      <w:rPr>
        <w:rFonts w:ascii="Symbol" w:hAnsi="Symbol" w:hint="default"/>
        <w:b w:val="0"/>
        <w:i w:val="0"/>
        <w:color w:val="auto"/>
        <w:sz w:val="21"/>
      </w:rPr>
    </w:lvl>
    <w:lvl w:ilvl="3">
      <w:start w:val="1"/>
      <w:numFmt w:val="bullet"/>
      <w:pStyle w:val="BulletList4"/>
      <w:lvlText w:val=""/>
      <w:lvlJc w:val="left"/>
      <w:pPr>
        <w:tabs>
          <w:tab w:val="num" w:pos="3402"/>
        </w:tabs>
        <w:ind w:left="3402" w:hanging="850"/>
      </w:pPr>
      <w:rPr>
        <w:rFonts w:ascii="Symbol" w:hAnsi="Symbol" w:cs="Times New Roman" w:hint="default"/>
        <w:color w:val="auto"/>
        <w:sz w:val="21"/>
      </w:rPr>
    </w:lvl>
    <w:lvl w:ilvl="4">
      <w:start w:val="1"/>
      <w:numFmt w:val="bullet"/>
      <w:pStyle w:val="BulletList5"/>
      <w:lvlText w:val=""/>
      <w:lvlJc w:val="left"/>
      <w:pPr>
        <w:tabs>
          <w:tab w:val="num" w:pos="4253"/>
        </w:tabs>
        <w:ind w:left="4253" w:hanging="851"/>
      </w:pPr>
      <w:rPr>
        <w:rFonts w:ascii="Symbol" w:hAnsi="Symbol" w:cs="Times New Roman" w:hint="default"/>
        <w:color w:val="auto"/>
        <w:sz w:val="21"/>
      </w:rPr>
    </w:lvl>
    <w:lvl w:ilvl="5">
      <w:start w:val="1"/>
      <w:numFmt w:val="bullet"/>
      <w:pStyle w:val="BulletList6"/>
      <w:lvlText w:val=""/>
      <w:lvlJc w:val="left"/>
      <w:pPr>
        <w:tabs>
          <w:tab w:val="num" w:pos="5103"/>
        </w:tabs>
        <w:ind w:left="5103" w:hanging="850"/>
      </w:pPr>
      <w:rPr>
        <w:rFonts w:ascii="Symbol" w:hAnsi="Symbol" w:cs="Times New Roman" w:hint="default"/>
        <w:color w:val="auto"/>
        <w:sz w:val="21"/>
      </w:rPr>
    </w:lvl>
    <w:lvl w:ilvl="6">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6" w15:restartNumberingAfterBreak="0">
    <w:nsid w:val="11825EA9"/>
    <w:multiLevelType w:val="multilevel"/>
    <w:tmpl w:val="B5EA651E"/>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rPr>
    </w:lvl>
    <w:lvl w:ilvl="3">
      <w:start w:val="1"/>
      <w:numFmt w:val="decimal"/>
      <w:pStyle w:val="ScheduleUntitledsubclause1"/>
      <w:lvlText w:val="%3.%4"/>
      <w:lvlJc w:val="left"/>
      <w:pPr>
        <w:tabs>
          <w:tab w:val="num" w:pos="720"/>
        </w:tabs>
        <w:ind w:left="720" w:hanging="720"/>
      </w:pPr>
      <w:rPr>
        <w:rFonts w:hint="default"/>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22966D2"/>
    <w:multiLevelType w:val="multilevel"/>
    <w:tmpl w:val="625261A6"/>
    <w:name w:val="Bullet With Space"/>
    <w:lvl w:ilvl="0">
      <w:start w:val="1"/>
      <w:numFmt w:val="bullet"/>
      <w:pStyle w:val="Bullet1"/>
      <w:lvlText w:val=""/>
      <w:lvlJc w:val="left"/>
      <w:pPr>
        <w:tabs>
          <w:tab w:val="num" w:pos="851"/>
        </w:tabs>
        <w:ind w:left="851" w:hanging="851"/>
      </w:pPr>
      <w:rPr>
        <w:rFonts w:ascii="Symbol" w:hAnsi="Symbol" w:hint="default"/>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0"/>
      </w:pPr>
      <w:rPr>
        <w:rFonts w:ascii="Symbol" w:hAnsi="Symbol" w:hint="default"/>
        <w:b w:val="0"/>
        <w:i w:val="0"/>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2"/>
        </w:tabs>
        <w:ind w:left="2552" w:hanging="851"/>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850"/>
      </w:pPr>
      <w:rPr>
        <w:rFonts w:ascii="Symbol" w:hAnsi="Symbol" w:cs="Times New Roman"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4253"/>
        </w:tabs>
        <w:ind w:left="4253" w:hanging="851"/>
      </w:pPr>
      <w:rPr>
        <w:rFonts w:ascii="Symbol" w:hAnsi="Symbol" w:cs="Times New Roman"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5103"/>
        </w:tabs>
        <w:ind w:left="5103" w:hanging="850"/>
      </w:pPr>
      <w:rPr>
        <w:rFonts w:ascii="Symbol" w:hAnsi="Symbol"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cs="Times New Roman"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cs="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5F57CF2"/>
    <w:multiLevelType w:val="multilevel"/>
    <w:tmpl w:val="5F189D02"/>
    <w:name w:val="Background"/>
    <w:lvl w:ilvl="0">
      <w:start w:val="1"/>
      <w:numFmt w:val="upperLetter"/>
      <w:pStyle w:val="Background"/>
      <w:lvlText w:val="(%1)"/>
      <w:lvlJc w:val="left"/>
      <w:pPr>
        <w:tabs>
          <w:tab w:val="num" w:pos="851"/>
        </w:tabs>
        <w:ind w:left="851" w:hanging="851"/>
      </w:pPr>
      <w:rPr>
        <w:rFonts w:ascii="Arial" w:hAnsi="Arial" w:cs="Times New Roman" w:hint="default"/>
        <w:kern w:val="0"/>
        <w:sz w:val="20"/>
      </w:rPr>
    </w:lvl>
    <w:lvl w:ilvl="1">
      <w:start w:val="1"/>
      <w:numFmt w:val="none"/>
      <w:suff w:val="nothing"/>
      <w:lvlText w:val=""/>
      <w:lvlJc w:val="left"/>
      <w:pPr>
        <w:ind w:left="0" w:firstLine="0"/>
      </w:pPr>
      <w:rPr>
        <w:rFonts w:ascii="Arial" w:hAnsi="Arial" w:cs="Times New Roman" w:hint="default"/>
        <w:b/>
        <w:i w:val="0"/>
        <w:sz w:val="21"/>
      </w:rPr>
    </w:lvl>
    <w:lvl w:ilvl="2">
      <w:start w:val="1"/>
      <w:numFmt w:val="none"/>
      <w:suff w:val="nothing"/>
      <w:lvlText w:val=""/>
      <w:lvlJc w:val="left"/>
      <w:pPr>
        <w:ind w:left="0" w:firstLine="0"/>
      </w:pPr>
      <w:rPr>
        <w:rFonts w:ascii="Arial" w:hAnsi="Arial" w:cs="Times New Roman" w:hint="default"/>
        <w:sz w:val="21"/>
      </w:rPr>
    </w:lvl>
    <w:lvl w:ilvl="3">
      <w:start w:val="1"/>
      <w:numFmt w:val="none"/>
      <w:suff w:val="nothing"/>
      <w:lvlText w:val=""/>
      <w:lvlJc w:val="left"/>
      <w:pPr>
        <w:ind w:left="0" w:firstLine="0"/>
      </w:pPr>
      <w:rPr>
        <w:rFonts w:ascii="Arial" w:hAnsi="Arial" w:cs="Times New Roman" w:hint="default"/>
        <w:sz w:val="21"/>
      </w:rPr>
    </w:lvl>
    <w:lvl w:ilvl="4">
      <w:start w:val="1"/>
      <w:numFmt w:val="none"/>
      <w:suff w:val="nothing"/>
      <w:lvlText w:val=""/>
      <w:lvlJc w:val="left"/>
      <w:pPr>
        <w:ind w:left="0" w:firstLine="0"/>
      </w:pPr>
      <w:rPr>
        <w:rFonts w:ascii="Arial" w:hAnsi="Arial" w:cs="Times New Roman" w:hint="default"/>
        <w:sz w:val="21"/>
      </w:rPr>
    </w:lvl>
    <w:lvl w:ilvl="5">
      <w:start w:val="27"/>
      <w:numFmt w:val="none"/>
      <w:suff w:val="nothing"/>
      <w:lvlText w:val=""/>
      <w:lvlJc w:val="left"/>
      <w:pPr>
        <w:ind w:left="0" w:firstLine="0"/>
      </w:pPr>
      <w:rPr>
        <w:rFonts w:ascii="Arial" w:hAnsi="Arial" w:cs="Times New Roman" w:hint="default"/>
        <w:sz w:val="21"/>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9" w15:restartNumberingAfterBreak="0">
    <w:nsid w:val="20E82F3A"/>
    <w:multiLevelType w:val="hybridMultilevel"/>
    <w:tmpl w:val="1DF80854"/>
    <w:lvl w:ilvl="0" w:tplc="FBC668B2">
      <w:start w:val="1"/>
      <w:numFmt w:val="decimal"/>
      <w:pStyle w:val="ScheduleHeading-Single"/>
      <w:lvlText w:val="Schedule"/>
      <w:lvlJc w:val="left"/>
      <w:pPr>
        <w:tabs>
          <w:tab w:val="num" w:pos="720"/>
        </w:tabs>
        <w:ind w:left="720" w:hanging="720"/>
      </w:pPr>
      <w:rPr>
        <w:color w:val="000000"/>
      </w:rPr>
    </w:lvl>
    <w:lvl w:ilvl="1" w:tplc="15BAEB76" w:tentative="1">
      <w:start w:val="1"/>
      <w:numFmt w:val="lowerLetter"/>
      <w:lvlText w:val="%2."/>
      <w:lvlJc w:val="left"/>
      <w:pPr>
        <w:tabs>
          <w:tab w:val="num" w:pos="1440"/>
        </w:tabs>
        <w:ind w:left="1440" w:hanging="360"/>
      </w:pPr>
    </w:lvl>
    <w:lvl w:ilvl="2" w:tplc="CFD83DC8" w:tentative="1">
      <w:start w:val="1"/>
      <w:numFmt w:val="lowerRoman"/>
      <w:lvlText w:val="%3."/>
      <w:lvlJc w:val="right"/>
      <w:pPr>
        <w:tabs>
          <w:tab w:val="num" w:pos="2160"/>
        </w:tabs>
        <w:ind w:left="2160" w:hanging="180"/>
      </w:pPr>
    </w:lvl>
    <w:lvl w:ilvl="3" w:tplc="7CDED2EA" w:tentative="1">
      <w:start w:val="1"/>
      <w:numFmt w:val="decimal"/>
      <w:lvlText w:val="%4."/>
      <w:lvlJc w:val="left"/>
      <w:pPr>
        <w:tabs>
          <w:tab w:val="num" w:pos="2880"/>
        </w:tabs>
        <w:ind w:left="2880" w:hanging="360"/>
      </w:pPr>
    </w:lvl>
    <w:lvl w:ilvl="4" w:tplc="F4948634" w:tentative="1">
      <w:start w:val="1"/>
      <w:numFmt w:val="lowerLetter"/>
      <w:lvlText w:val="%5."/>
      <w:lvlJc w:val="left"/>
      <w:pPr>
        <w:tabs>
          <w:tab w:val="num" w:pos="3600"/>
        </w:tabs>
        <w:ind w:left="3600" w:hanging="360"/>
      </w:pPr>
    </w:lvl>
    <w:lvl w:ilvl="5" w:tplc="FD80C2B8" w:tentative="1">
      <w:start w:val="1"/>
      <w:numFmt w:val="lowerRoman"/>
      <w:lvlText w:val="%6."/>
      <w:lvlJc w:val="right"/>
      <w:pPr>
        <w:tabs>
          <w:tab w:val="num" w:pos="4320"/>
        </w:tabs>
        <w:ind w:left="4320" w:hanging="180"/>
      </w:pPr>
    </w:lvl>
    <w:lvl w:ilvl="6" w:tplc="C57481F0" w:tentative="1">
      <w:start w:val="1"/>
      <w:numFmt w:val="decimal"/>
      <w:lvlText w:val="%7."/>
      <w:lvlJc w:val="left"/>
      <w:pPr>
        <w:tabs>
          <w:tab w:val="num" w:pos="5040"/>
        </w:tabs>
        <w:ind w:left="5040" w:hanging="360"/>
      </w:pPr>
    </w:lvl>
    <w:lvl w:ilvl="7" w:tplc="4CB64004" w:tentative="1">
      <w:start w:val="1"/>
      <w:numFmt w:val="lowerLetter"/>
      <w:lvlText w:val="%8."/>
      <w:lvlJc w:val="left"/>
      <w:pPr>
        <w:tabs>
          <w:tab w:val="num" w:pos="5760"/>
        </w:tabs>
        <w:ind w:left="5760" w:hanging="360"/>
      </w:pPr>
    </w:lvl>
    <w:lvl w:ilvl="8" w:tplc="608426A8" w:tentative="1">
      <w:start w:val="1"/>
      <w:numFmt w:val="lowerRoman"/>
      <w:lvlText w:val="%9."/>
      <w:lvlJc w:val="right"/>
      <w:pPr>
        <w:tabs>
          <w:tab w:val="num" w:pos="6480"/>
        </w:tabs>
        <w:ind w:left="6480" w:hanging="180"/>
      </w:pPr>
    </w:lvl>
  </w:abstractNum>
  <w:abstractNum w:abstractNumId="20" w15:restartNumberingAfterBreak="0">
    <w:nsid w:val="25B00E4C"/>
    <w:multiLevelType w:val="hybridMultilevel"/>
    <w:tmpl w:val="97C4AA26"/>
    <w:lvl w:ilvl="0" w:tplc="FDD22906">
      <w:start w:val="1"/>
      <w:numFmt w:val="upperLetter"/>
      <w:pStyle w:val="Annex"/>
      <w:lvlText w:val="ANNEX %1"/>
      <w:lvlJc w:val="left"/>
      <w:pPr>
        <w:ind w:left="720" w:hanging="360"/>
      </w:pPr>
      <w:rPr>
        <w:rFonts w:cs="Times New Roman" w:hint="default"/>
        <w:b/>
        <w:bCs w:val="0"/>
        <w:i w:val="0"/>
        <w:iCs w:val="0"/>
        <w: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25BC2138" w:tentative="1">
      <w:start w:val="1"/>
      <w:numFmt w:val="lowerLetter"/>
      <w:lvlText w:val="%2."/>
      <w:lvlJc w:val="left"/>
      <w:pPr>
        <w:ind w:left="1440" w:hanging="360"/>
      </w:pPr>
    </w:lvl>
    <w:lvl w:ilvl="2" w:tplc="B3AE9A36" w:tentative="1">
      <w:start w:val="1"/>
      <w:numFmt w:val="lowerRoman"/>
      <w:lvlText w:val="%3."/>
      <w:lvlJc w:val="right"/>
      <w:pPr>
        <w:ind w:left="2160" w:hanging="180"/>
      </w:pPr>
    </w:lvl>
    <w:lvl w:ilvl="3" w:tplc="88DAA1BE" w:tentative="1">
      <w:start w:val="1"/>
      <w:numFmt w:val="decimal"/>
      <w:lvlText w:val="%4."/>
      <w:lvlJc w:val="left"/>
      <w:pPr>
        <w:ind w:left="2880" w:hanging="360"/>
      </w:pPr>
    </w:lvl>
    <w:lvl w:ilvl="4" w:tplc="7F0EB5A4" w:tentative="1">
      <w:start w:val="1"/>
      <w:numFmt w:val="lowerLetter"/>
      <w:lvlText w:val="%5."/>
      <w:lvlJc w:val="left"/>
      <w:pPr>
        <w:ind w:left="3600" w:hanging="360"/>
      </w:pPr>
    </w:lvl>
    <w:lvl w:ilvl="5" w:tplc="D01C7956" w:tentative="1">
      <w:start w:val="1"/>
      <w:numFmt w:val="lowerRoman"/>
      <w:lvlText w:val="%6."/>
      <w:lvlJc w:val="right"/>
      <w:pPr>
        <w:ind w:left="4320" w:hanging="180"/>
      </w:pPr>
    </w:lvl>
    <w:lvl w:ilvl="6" w:tplc="4AE21772" w:tentative="1">
      <w:start w:val="1"/>
      <w:numFmt w:val="decimal"/>
      <w:lvlText w:val="%7."/>
      <w:lvlJc w:val="left"/>
      <w:pPr>
        <w:ind w:left="5040" w:hanging="360"/>
      </w:pPr>
    </w:lvl>
    <w:lvl w:ilvl="7" w:tplc="E9D06F4A" w:tentative="1">
      <w:start w:val="1"/>
      <w:numFmt w:val="lowerLetter"/>
      <w:lvlText w:val="%8."/>
      <w:lvlJc w:val="left"/>
      <w:pPr>
        <w:ind w:left="5760" w:hanging="360"/>
      </w:pPr>
    </w:lvl>
    <w:lvl w:ilvl="8" w:tplc="EF6CA56E" w:tentative="1">
      <w:start w:val="1"/>
      <w:numFmt w:val="lowerRoman"/>
      <w:lvlText w:val="%9."/>
      <w:lvlJc w:val="right"/>
      <w:pPr>
        <w:ind w:left="6480" w:hanging="180"/>
      </w:pPr>
    </w:lvl>
  </w:abstractNum>
  <w:abstractNum w:abstractNumId="21" w15:restartNumberingAfterBreak="0">
    <w:nsid w:val="29C94F29"/>
    <w:multiLevelType w:val="hybridMultilevel"/>
    <w:tmpl w:val="4CBC2A34"/>
    <w:lvl w:ilvl="0" w:tplc="C0EEEE9E">
      <w:start w:val="1"/>
      <w:numFmt w:val="decimal"/>
      <w:pStyle w:val="QuestionParagraph"/>
      <w:lvlText w:val="%1."/>
      <w:lvlJc w:val="left"/>
      <w:pPr>
        <w:ind w:left="720" w:hanging="360"/>
      </w:pPr>
      <w:rPr>
        <w:color w:val="000000"/>
      </w:rPr>
    </w:lvl>
    <w:lvl w:ilvl="1" w:tplc="BC50EFFC" w:tentative="1">
      <w:start w:val="1"/>
      <w:numFmt w:val="lowerLetter"/>
      <w:lvlText w:val="%2."/>
      <w:lvlJc w:val="left"/>
      <w:pPr>
        <w:ind w:left="1440" w:hanging="360"/>
      </w:pPr>
    </w:lvl>
    <w:lvl w:ilvl="2" w:tplc="57A235B6" w:tentative="1">
      <w:start w:val="1"/>
      <w:numFmt w:val="lowerRoman"/>
      <w:lvlText w:val="%3."/>
      <w:lvlJc w:val="right"/>
      <w:pPr>
        <w:ind w:left="2160" w:hanging="180"/>
      </w:pPr>
    </w:lvl>
    <w:lvl w:ilvl="3" w:tplc="128CFE3E" w:tentative="1">
      <w:start w:val="1"/>
      <w:numFmt w:val="decimal"/>
      <w:lvlText w:val="%4."/>
      <w:lvlJc w:val="left"/>
      <w:pPr>
        <w:ind w:left="2880" w:hanging="360"/>
      </w:pPr>
    </w:lvl>
    <w:lvl w:ilvl="4" w:tplc="58A425E8" w:tentative="1">
      <w:start w:val="1"/>
      <w:numFmt w:val="lowerLetter"/>
      <w:lvlText w:val="%5."/>
      <w:lvlJc w:val="left"/>
      <w:pPr>
        <w:ind w:left="3600" w:hanging="360"/>
      </w:pPr>
    </w:lvl>
    <w:lvl w:ilvl="5" w:tplc="889671BC" w:tentative="1">
      <w:start w:val="1"/>
      <w:numFmt w:val="lowerRoman"/>
      <w:lvlText w:val="%6."/>
      <w:lvlJc w:val="right"/>
      <w:pPr>
        <w:ind w:left="4320" w:hanging="180"/>
      </w:pPr>
    </w:lvl>
    <w:lvl w:ilvl="6" w:tplc="92D8E820" w:tentative="1">
      <w:start w:val="1"/>
      <w:numFmt w:val="decimal"/>
      <w:lvlText w:val="%7."/>
      <w:lvlJc w:val="left"/>
      <w:pPr>
        <w:ind w:left="5040" w:hanging="360"/>
      </w:pPr>
    </w:lvl>
    <w:lvl w:ilvl="7" w:tplc="BC36FCCA" w:tentative="1">
      <w:start w:val="1"/>
      <w:numFmt w:val="lowerLetter"/>
      <w:lvlText w:val="%8."/>
      <w:lvlJc w:val="left"/>
      <w:pPr>
        <w:ind w:left="5760" w:hanging="360"/>
      </w:pPr>
    </w:lvl>
    <w:lvl w:ilvl="8" w:tplc="8F9A996C" w:tentative="1">
      <w:start w:val="1"/>
      <w:numFmt w:val="lowerRoman"/>
      <w:lvlText w:val="%9."/>
      <w:lvlJc w:val="right"/>
      <w:pPr>
        <w:ind w:left="6480" w:hanging="180"/>
      </w:pPr>
    </w:lvl>
  </w:abstractNum>
  <w:abstractNum w:abstractNumId="22" w15:restartNumberingAfterBreak="0">
    <w:nsid w:val="310416CA"/>
    <w:multiLevelType w:val="hybridMultilevel"/>
    <w:tmpl w:val="072EDEC8"/>
    <w:lvl w:ilvl="0" w:tplc="21E80F3E">
      <w:start w:val="1"/>
      <w:numFmt w:val="bullet"/>
      <w:pStyle w:val="subclause2Bullet2"/>
      <w:lvlText w:val=""/>
      <w:lvlJc w:val="left"/>
      <w:pPr>
        <w:ind w:left="2279" w:hanging="360"/>
      </w:pPr>
      <w:rPr>
        <w:rFonts w:ascii="Symbol" w:hAnsi="Symbol" w:hint="default"/>
        <w:color w:val="000000"/>
      </w:rPr>
    </w:lvl>
    <w:lvl w:ilvl="1" w:tplc="1B26E976" w:tentative="1">
      <w:start w:val="1"/>
      <w:numFmt w:val="bullet"/>
      <w:lvlText w:val="o"/>
      <w:lvlJc w:val="left"/>
      <w:pPr>
        <w:ind w:left="2999" w:hanging="360"/>
      </w:pPr>
      <w:rPr>
        <w:rFonts w:ascii="Courier New" w:hAnsi="Courier New" w:cs="Courier New" w:hint="default"/>
      </w:rPr>
    </w:lvl>
    <w:lvl w:ilvl="2" w:tplc="D02EF6F6" w:tentative="1">
      <w:start w:val="1"/>
      <w:numFmt w:val="bullet"/>
      <w:lvlText w:val=""/>
      <w:lvlJc w:val="left"/>
      <w:pPr>
        <w:ind w:left="3719" w:hanging="360"/>
      </w:pPr>
      <w:rPr>
        <w:rFonts w:ascii="Wingdings" w:hAnsi="Wingdings" w:hint="default"/>
      </w:rPr>
    </w:lvl>
    <w:lvl w:ilvl="3" w:tplc="DB5864AC" w:tentative="1">
      <w:start w:val="1"/>
      <w:numFmt w:val="bullet"/>
      <w:lvlText w:val=""/>
      <w:lvlJc w:val="left"/>
      <w:pPr>
        <w:ind w:left="4439" w:hanging="360"/>
      </w:pPr>
      <w:rPr>
        <w:rFonts w:ascii="Symbol" w:hAnsi="Symbol" w:hint="default"/>
      </w:rPr>
    </w:lvl>
    <w:lvl w:ilvl="4" w:tplc="79F648DA" w:tentative="1">
      <w:start w:val="1"/>
      <w:numFmt w:val="bullet"/>
      <w:lvlText w:val="o"/>
      <w:lvlJc w:val="left"/>
      <w:pPr>
        <w:ind w:left="5159" w:hanging="360"/>
      </w:pPr>
      <w:rPr>
        <w:rFonts w:ascii="Courier New" w:hAnsi="Courier New" w:cs="Courier New" w:hint="default"/>
      </w:rPr>
    </w:lvl>
    <w:lvl w:ilvl="5" w:tplc="4628C47C" w:tentative="1">
      <w:start w:val="1"/>
      <w:numFmt w:val="bullet"/>
      <w:lvlText w:val=""/>
      <w:lvlJc w:val="left"/>
      <w:pPr>
        <w:ind w:left="5879" w:hanging="360"/>
      </w:pPr>
      <w:rPr>
        <w:rFonts w:ascii="Wingdings" w:hAnsi="Wingdings" w:hint="default"/>
      </w:rPr>
    </w:lvl>
    <w:lvl w:ilvl="6" w:tplc="79B80A1C" w:tentative="1">
      <w:start w:val="1"/>
      <w:numFmt w:val="bullet"/>
      <w:lvlText w:val=""/>
      <w:lvlJc w:val="left"/>
      <w:pPr>
        <w:ind w:left="6599" w:hanging="360"/>
      </w:pPr>
      <w:rPr>
        <w:rFonts w:ascii="Symbol" w:hAnsi="Symbol" w:hint="default"/>
      </w:rPr>
    </w:lvl>
    <w:lvl w:ilvl="7" w:tplc="447E27EC" w:tentative="1">
      <w:start w:val="1"/>
      <w:numFmt w:val="bullet"/>
      <w:lvlText w:val="o"/>
      <w:lvlJc w:val="left"/>
      <w:pPr>
        <w:ind w:left="7319" w:hanging="360"/>
      </w:pPr>
      <w:rPr>
        <w:rFonts w:ascii="Courier New" w:hAnsi="Courier New" w:cs="Courier New" w:hint="default"/>
      </w:rPr>
    </w:lvl>
    <w:lvl w:ilvl="8" w:tplc="CC44D032" w:tentative="1">
      <w:start w:val="1"/>
      <w:numFmt w:val="bullet"/>
      <w:lvlText w:val=""/>
      <w:lvlJc w:val="left"/>
      <w:pPr>
        <w:ind w:left="8039" w:hanging="360"/>
      </w:pPr>
      <w:rPr>
        <w:rFonts w:ascii="Wingdings" w:hAnsi="Wingdings" w:hint="default"/>
      </w:rPr>
    </w:lvl>
  </w:abstractNum>
  <w:abstractNum w:abstractNumId="23" w15:restartNumberingAfterBreak="0">
    <w:nsid w:val="33CC668D"/>
    <w:multiLevelType w:val="hybridMultilevel"/>
    <w:tmpl w:val="594C4DAE"/>
    <w:lvl w:ilvl="0" w:tplc="18640126">
      <w:start w:val="1"/>
      <w:numFmt w:val="bullet"/>
      <w:pStyle w:val="Bullet40"/>
      <w:lvlText w:val=""/>
      <w:lvlJc w:val="left"/>
      <w:pPr>
        <w:tabs>
          <w:tab w:val="num" w:pos="2676"/>
        </w:tabs>
        <w:ind w:left="2676" w:hanging="357"/>
      </w:pPr>
      <w:rPr>
        <w:rFonts w:ascii="Symbol" w:hAnsi="Symbol" w:hint="default"/>
        <w:color w:val="000000"/>
      </w:rPr>
    </w:lvl>
    <w:lvl w:ilvl="1" w:tplc="738AEDEC" w:tentative="1">
      <w:start w:val="1"/>
      <w:numFmt w:val="bullet"/>
      <w:lvlText w:val="o"/>
      <w:lvlJc w:val="left"/>
      <w:pPr>
        <w:tabs>
          <w:tab w:val="num" w:pos="1440"/>
        </w:tabs>
        <w:ind w:left="1440" w:hanging="360"/>
      </w:pPr>
      <w:rPr>
        <w:rFonts w:ascii="Courier New" w:hAnsi="Courier New" w:cs="Courier New" w:hint="default"/>
      </w:rPr>
    </w:lvl>
    <w:lvl w:ilvl="2" w:tplc="34BECCFC" w:tentative="1">
      <w:start w:val="1"/>
      <w:numFmt w:val="bullet"/>
      <w:lvlText w:val=""/>
      <w:lvlJc w:val="left"/>
      <w:pPr>
        <w:tabs>
          <w:tab w:val="num" w:pos="2160"/>
        </w:tabs>
        <w:ind w:left="2160" w:hanging="360"/>
      </w:pPr>
      <w:rPr>
        <w:rFonts w:ascii="Wingdings" w:hAnsi="Wingdings" w:hint="default"/>
      </w:rPr>
    </w:lvl>
    <w:lvl w:ilvl="3" w:tplc="93FE110E" w:tentative="1">
      <w:start w:val="1"/>
      <w:numFmt w:val="bullet"/>
      <w:lvlText w:val=""/>
      <w:lvlJc w:val="left"/>
      <w:pPr>
        <w:tabs>
          <w:tab w:val="num" w:pos="2880"/>
        </w:tabs>
        <w:ind w:left="2880" w:hanging="360"/>
      </w:pPr>
      <w:rPr>
        <w:rFonts w:ascii="Symbol" w:hAnsi="Symbol" w:hint="default"/>
      </w:rPr>
    </w:lvl>
    <w:lvl w:ilvl="4" w:tplc="9EA6BEA2" w:tentative="1">
      <w:start w:val="1"/>
      <w:numFmt w:val="bullet"/>
      <w:lvlText w:val="o"/>
      <w:lvlJc w:val="left"/>
      <w:pPr>
        <w:tabs>
          <w:tab w:val="num" w:pos="3600"/>
        </w:tabs>
        <w:ind w:left="3600" w:hanging="360"/>
      </w:pPr>
      <w:rPr>
        <w:rFonts w:ascii="Courier New" w:hAnsi="Courier New" w:cs="Courier New" w:hint="default"/>
      </w:rPr>
    </w:lvl>
    <w:lvl w:ilvl="5" w:tplc="ED046C16" w:tentative="1">
      <w:start w:val="1"/>
      <w:numFmt w:val="bullet"/>
      <w:lvlText w:val=""/>
      <w:lvlJc w:val="left"/>
      <w:pPr>
        <w:tabs>
          <w:tab w:val="num" w:pos="4320"/>
        </w:tabs>
        <w:ind w:left="4320" w:hanging="360"/>
      </w:pPr>
      <w:rPr>
        <w:rFonts w:ascii="Wingdings" w:hAnsi="Wingdings" w:hint="default"/>
      </w:rPr>
    </w:lvl>
    <w:lvl w:ilvl="6" w:tplc="0468739C" w:tentative="1">
      <w:start w:val="1"/>
      <w:numFmt w:val="bullet"/>
      <w:lvlText w:val=""/>
      <w:lvlJc w:val="left"/>
      <w:pPr>
        <w:tabs>
          <w:tab w:val="num" w:pos="5040"/>
        </w:tabs>
        <w:ind w:left="5040" w:hanging="360"/>
      </w:pPr>
      <w:rPr>
        <w:rFonts w:ascii="Symbol" w:hAnsi="Symbol" w:hint="default"/>
      </w:rPr>
    </w:lvl>
    <w:lvl w:ilvl="7" w:tplc="8378F4CA" w:tentative="1">
      <w:start w:val="1"/>
      <w:numFmt w:val="bullet"/>
      <w:lvlText w:val="o"/>
      <w:lvlJc w:val="left"/>
      <w:pPr>
        <w:tabs>
          <w:tab w:val="num" w:pos="5760"/>
        </w:tabs>
        <w:ind w:left="5760" w:hanging="360"/>
      </w:pPr>
      <w:rPr>
        <w:rFonts w:ascii="Courier New" w:hAnsi="Courier New" w:cs="Courier New" w:hint="default"/>
      </w:rPr>
    </w:lvl>
    <w:lvl w:ilvl="8" w:tplc="951CF87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130038"/>
    <w:multiLevelType w:val="hybridMultilevel"/>
    <w:tmpl w:val="FF8A0FAE"/>
    <w:lvl w:ilvl="0" w:tplc="5EDECBEA">
      <w:start w:val="1"/>
      <w:numFmt w:val="bullet"/>
      <w:pStyle w:val="ClauseBullet2"/>
      <w:lvlText w:val=""/>
      <w:lvlJc w:val="left"/>
      <w:pPr>
        <w:ind w:left="1440" w:hanging="360"/>
      </w:pPr>
      <w:rPr>
        <w:rFonts w:ascii="Symbol" w:hAnsi="Symbol" w:hint="default"/>
        <w:color w:val="000000"/>
      </w:rPr>
    </w:lvl>
    <w:lvl w:ilvl="1" w:tplc="73DE7CCA" w:tentative="1">
      <w:start w:val="1"/>
      <w:numFmt w:val="bullet"/>
      <w:lvlText w:val="o"/>
      <w:lvlJc w:val="left"/>
      <w:pPr>
        <w:ind w:left="2160" w:hanging="360"/>
      </w:pPr>
      <w:rPr>
        <w:rFonts w:ascii="Courier New" w:hAnsi="Courier New" w:cs="Courier New" w:hint="default"/>
      </w:rPr>
    </w:lvl>
    <w:lvl w:ilvl="2" w:tplc="DFD0ED26" w:tentative="1">
      <w:start w:val="1"/>
      <w:numFmt w:val="bullet"/>
      <w:lvlText w:val=""/>
      <w:lvlJc w:val="left"/>
      <w:pPr>
        <w:ind w:left="2880" w:hanging="360"/>
      </w:pPr>
      <w:rPr>
        <w:rFonts w:ascii="Wingdings" w:hAnsi="Wingdings" w:hint="default"/>
      </w:rPr>
    </w:lvl>
    <w:lvl w:ilvl="3" w:tplc="78EC7A7A" w:tentative="1">
      <w:start w:val="1"/>
      <w:numFmt w:val="bullet"/>
      <w:lvlText w:val=""/>
      <w:lvlJc w:val="left"/>
      <w:pPr>
        <w:ind w:left="3600" w:hanging="360"/>
      </w:pPr>
      <w:rPr>
        <w:rFonts w:ascii="Symbol" w:hAnsi="Symbol" w:hint="default"/>
      </w:rPr>
    </w:lvl>
    <w:lvl w:ilvl="4" w:tplc="11F08230" w:tentative="1">
      <w:start w:val="1"/>
      <w:numFmt w:val="bullet"/>
      <w:lvlText w:val="o"/>
      <w:lvlJc w:val="left"/>
      <w:pPr>
        <w:ind w:left="4320" w:hanging="360"/>
      </w:pPr>
      <w:rPr>
        <w:rFonts w:ascii="Courier New" w:hAnsi="Courier New" w:cs="Courier New" w:hint="default"/>
      </w:rPr>
    </w:lvl>
    <w:lvl w:ilvl="5" w:tplc="0C72D1B0" w:tentative="1">
      <w:start w:val="1"/>
      <w:numFmt w:val="bullet"/>
      <w:lvlText w:val=""/>
      <w:lvlJc w:val="left"/>
      <w:pPr>
        <w:ind w:left="5040" w:hanging="360"/>
      </w:pPr>
      <w:rPr>
        <w:rFonts w:ascii="Wingdings" w:hAnsi="Wingdings" w:hint="default"/>
      </w:rPr>
    </w:lvl>
    <w:lvl w:ilvl="6" w:tplc="0AC454FC" w:tentative="1">
      <w:start w:val="1"/>
      <w:numFmt w:val="bullet"/>
      <w:lvlText w:val=""/>
      <w:lvlJc w:val="left"/>
      <w:pPr>
        <w:ind w:left="5760" w:hanging="360"/>
      </w:pPr>
      <w:rPr>
        <w:rFonts w:ascii="Symbol" w:hAnsi="Symbol" w:hint="default"/>
      </w:rPr>
    </w:lvl>
    <w:lvl w:ilvl="7" w:tplc="ABF2E6E2" w:tentative="1">
      <w:start w:val="1"/>
      <w:numFmt w:val="bullet"/>
      <w:lvlText w:val="o"/>
      <w:lvlJc w:val="left"/>
      <w:pPr>
        <w:ind w:left="6480" w:hanging="360"/>
      </w:pPr>
      <w:rPr>
        <w:rFonts w:ascii="Courier New" w:hAnsi="Courier New" w:cs="Courier New" w:hint="default"/>
      </w:rPr>
    </w:lvl>
    <w:lvl w:ilvl="8" w:tplc="2786B866" w:tentative="1">
      <w:start w:val="1"/>
      <w:numFmt w:val="bullet"/>
      <w:lvlText w:val=""/>
      <w:lvlJc w:val="left"/>
      <w:pPr>
        <w:ind w:left="7200" w:hanging="360"/>
      </w:pPr>
      <w:rPr>
        <w:rFonts w:ascii="Wingdings" w:hAnsi="Wingdings" w:hint="default"/>
      </w:rPr>
    </w:lvl>
  </w:abstractNum>
  <w:abstractNum w:abstractNumId="25" w15:restartNumberingAfterBreak="0">
    <w:nsid w:val="3B793E27"/>
    <w:multiLevelType w:val="multilevel"/>
    <w:tmpl w:val="0ADCF826"/>
    <w:name w:val="Definition"/>
    <w:lvl w:ilvl="0">
      <w:start w:val="1"/>
      <w:numFmt w:val="none"/>
      <w:pStyle w:val="Definition"/>
      <w:suff w:val="nothing"/>
      <w:lvlText w:val=""/>
      <w:lvlJc w:val="left"/>
      <w:pPr>
        <w:ind w:left="851" w:firstLine="0"/>
      </w:pPr>
      <w:rPr>
        <w:rFonts w:cs="Times New Roman" w:hint="default"/>
        <w:b/>
        <w:i w:val="0"/>
        <w:caps w:val="0"/>
        <w:kern w:val="0"/>
        <w:sz w:val="20"/>
      </w:rPr>
    </w:lvl>
    <w:lvl w:ilvl="1">
      <w:start w:val="1"/>
      <w:numFmt w:val="lowerLetter"/>
      <w:pStyle w:val="Definitiona"/>
      <w:lvlText w:val="(%2)"/>
      <w:lvlJc w:val="left"/>
      <w:pPr>
        <w:tabs>
          <w:tab w:val="num" w:pos="1701"/>
        </w:tabs>
        <w:ind w:left="1701" w:hanging="850"/>
      </w:pPr>
      <w:rPr>
        <w:rFonts w:cs="Times New Roman" w:hint="default"/>
        <w:b w:val="0"/>
        <w:i w:val="0"/>
        <w:sz w:val="20"/>
      </w:rPr>
    </w:lvl>
    <w:lvl w:ilvl="2">
      <w:start w:val="1"/>
      <w:numFmt w:val="lowerRoman"/>
      <w:lvlRestart w:val="1"/>
      <w:pStyle w:val="Definitioni"/>
      <w:lvlText w:val="(%3)"/>
      <w:lvlJc w:val="left"/>
      <w:pPr>
        <w:tabs>
          <w:tab w:val="num" w:pos="2552"/>
        </w:tabs>
        <w:ind w:left="2552" w:hanging="851"/>
      </w:pPr>
      <w:rPr>
        <w:rFonts w:ascii="Arial" w:hAnsi="Arial" w:cs="Times New Roman" w:hint="default"/>
        <w:sz w:val="20"/>
      </w:rPr>
    </w:lvl>
    <w:lvl w:ilvl="3">
      <w:start w:val="1"/>
      <w:numFmt w:val="none"/>
      <w:suff w:val="nothing"/>
      <w:lvlText w:val=""/>
      <w:lvlJc w:val="left"/>
      <w:pPr>
        <w:ind w:left="-32767" w:firstLine="32767"/>
      </w:pPr>
      <w:rPr>
        <w:rFonts w:cs="Times New Roman" w:hint="default"/>
        <w:sz w:val="20"/>
      </w:rPr>
    </w:lvl>
    <w:lvl w:ilvl="4">
      <w:start w:val="1"/>
      <w:numFmt w:val="none"/>
      <w:suff w:val="nothing"/>
      <w:lvlText w:val=""/>
      <w:lvlJc w:val="left"/>
      <w:pPr>
        <w:ind w:left="0" w:firstLine="0"/>
      </w:pPr>
      <w:rPr>
        <w:rFonts w:cs="Times New Roman" w:hint="default"/>
        <w:sz w:val="20"/>
      </w:rPr>
    </w:lvl>
    <w:lvl w:ilvl="5">
      <w:start w:val="1"/>
      <w:numFmt w:val="none"/>
      <w:suff w:val="nothing"/>
      <w:lvlText w:val=""/>
      <w:lvlJc w:val="left"/>
      <w:pPr>
        <w:ind w:left="-32767" w:firstLine="0"/>
      </w:pPr>
      <w:rPr>
        <w:rFonts w:ascii="Arial" w:hAnsi="Arial" w:cs="Times New Roman" w:hint="default"/>
        <w:sz w:val="20"/>
      </w:rPr>
    </w:lvl>
    <w:lvl w:ilvl="6">
      <w:start w:val="1"/>
      <w:numFmt w:val="none"/>
      <w:suff w:val="nothing"/>
      <w:lvlText w:val=""/>
      <w:lvlJc w:val="left"/>
      <w:pPr>
        <w:ind w:left="-32767" w:firstLine="0"/>
      </w:pPr>
      <w:rPr>
        <w:rFonts w:cs="Times New Roman" w:hint="default"/>
        <w:sz w:val="20"/>
      </w:rPr>
    </w:lvl>
    <w:lvl w:ilvl="7">
      <w:start w:val="1"/>
      <w:numFmt w:val="none"/>
      <w:suff w:val="nothing"/>
      <w:lvlText w:val=""/>
      <w:lvlJc w:val="left"/>
      <w:pPr>
        <w:ind w:left="-32767" w:firstLine="0"/>
      </w:pPr>
      <w:rPr>
        <w:rFonts w:cs="Times New Roman" w:hint="default"/>
        <w:sz w:val="20"/>
      </w:rPr>
    </w:lvl>
    <w:lvl w:ilvl="8">
      <w:start w:val="1"/>
      <w:numFmt w:val="none"/>
      <w:suff w:val="nothing"/>
      <w:lvlText w:val=""/>
      <w:lvlJc w:val="left"/>
      <w:pPr>
        <w:ind w:left="0" w:firstLine="0"/>
      </w:pPr>
      <w:rPr>
        <w:rFonts w:ascii="Arial" w:hAnsi="Arial" w:cs="Times New Roman" w:hint="default"/>
        <w:b/>
        <w:i w:val="0"/>
        <w:caps/>
        <w:sz w:val="21"/>
      </w:rPr>
    </w:lvl>
  </w:abstractNum>
  <w:abstractNum w:abstractNumId="26" w15:restartNumberingAfterBreak="0">
    <w:nsid w:val="44D67987"/>
    <w:multiLevelType w:val="hybridMultilevel"/>
    <w:tmpl w:val="EBD6FB80"/>
    <w:lvl w:ilvl="0" w:tplc="7938B640">
      <w:start w:val="1"/>
      <w:numFmt w:val="bullet"/>
      <w:pStyle w:val="subclause1Bullet2"/>
      <w:lvlText w:val=""/>
      <w:lvlJc w:val="left"/>
      <w:pPr>
        <w:ind w:left="1440" w:hanging="360"/>
      </w:pPr>
      <w:rPr>
        <w:rFonts w:ascii="Symbol" w:hAnsi="Symbol" w:hint="default"/>
        <w:color w:val="000000"/>
      </w:rPr>
    </w:lvl>
    <w:lvl w:ilvl="1" w:tplc="6BE232B4" w:tentative="1">
      <w:start w:val="1"/>
      <w:numFmt w:val="bullet"/>
      <w:lvlText w:val="o"/>
      <w:lvlJc w:val="left"/>
      <w:pPr>
        <w:ind w:left="2160" w:hanging="360"/>
      </w:pPr>
      <w:rPr>
        <w:rFonts w:ascii="Courier New" w:hAnsi="Courier New" w:cs="Courier New" w:hint="default"/>
      </w:rPr>
    </w:lvl>
    <w:lvl w:ilvl="2" w:tplc="751067EA" w:tentative="1">
      <w:start w:val="1"/>
      <w:numFmt w:val="bullet"/>
      <w:lvlText w:val=""/>
      <w:lvlJc w:val="left"/>
      <w:pPr>
        <w:ind w:left="2880" w:hanging="360"/>
      </w:pPr>
      <w:rPr>
        <w:rFonts w:ascii="Wingdings" w:hAnsi="Wingdings" w:hint="default"/>
      </w:rPr>
    </w:lvl>
    <w:lvl w:ilvl="3" w:tplc="F63E36DA" w:tentative="1">
      <w:start w:val="1"/>
      <w:numFmt w:val="bullet"/>
      <w:lvlText w:val=""/>
      <w:lvlJc w:val="left"/>
      <w:pPr>
        <w:ind w:left="3600" w:hanging="360"/>
      </w:pPr>
      <w:rPr>
        <w:rFonts w:ascii="Symbol" w:hAnsi="Symbol" w:hint="default"/>
      </w:rPr>
    </w:lvl>
    <w:lvl w:ilvl="4" w:tplc="C9EE63AA" w:tentative="1">
      <w:start w:val="1"/>
      <w:numFmt w:val="bullet"/>
      <w:lvlText w:val="o"/>
      <w:lvlJc w:val="left"/>
      <w:pPr>
        <w:ind w:left="4320" w:hanging="360"/>
      </w:pPr>
      <w:rPr>
        <w:rFonts w:ascii="Courier New" w:hAnsi="Courier New" w:cs="Courier New" w:hint="default"/>
      </w:rPr>
    </w:lvl>
    <w:lvl w:ilvl="5" w:tplc="E784353A" w:tentative="1">
      <w:start w:val="1"/>
      <w:numFmt w:val="bullet"/>
      <w:lvlText w:val=""/>
      <w:lvlJc w:val="left"/>
      <w:pPr>
        <w:ind w:left="5040" w:hanging="360"/>
      </w:pPr>
      <w:rPr>
        <w:rFonts w:ascii="Wingdings" w:hAnsi="Wingdings" w:hint="default"/>
      </w:rPr>
    </w:lvl>
    <w:lvl w:ilvl="6" w:tplc="6678702E" w:tentative="1">
      <w:start w:val="1"/>
      <w:numFmt w:val="bullet"/>
      <w:lvlText w:val=""/>
      <w:lvlJc w:val="left"/>
      <w:pPr>
        <w:ind w:left="5760" w:hanging="360"/>
      </w:pPr>
      <w:rPr>
        <w:rFonts w:ascii="Symbol" w:hAnsi="Symbol" w:hint="default"/>
      </w:rPr>
    </w:lvl>
    <w:lvl w:ilvl="7" w:tplc="38F09734" w:tentative="1">
      <w:start w:val="1"/>
      <w:numFmt w:val="bullet"/>
      <w:lvlText w:val="o"/>
      <w:lvlJc w:val="left"/>
      <w:pPr>
        <w:ind w:left="6480" w:hanging="360"/>
      </w:pPr>
      <w:rPr>
        <w:rFonts w:ascii="Courier New" w:hAnsi="Courier New" w:cs="Courier New" w:hint="default"/>
      </w:rPr>
    </w:lvl>
    <w:lvl w:ilvl="8" w:tplc="4202C870" w:tentative="1">
      <w:start w:val="1"/>
      <w:numFmt w:val="bullet"/>
      <w:lvlText w:val=""/>
      <w:lvlJc w:val="left"/>
      <w:pPr>
        <w:ind w:left="7200" w:hanging="360"/>
      </w:pPr>
      <w:rPr>
        <w:rFonts w:ascii="Wingdings" w:hAnsi="Wingdings" w:hint="default"/>
      </w:rPr>
    </w:lvl>
  </w:abstractNum>
  <w:abstractNum w:abstractNumId="27" w15:restartNumberingAfterBreak="0">
    <w:nsid w:val="44E96665"/>
    <w:multiLevelType w:val="hybridMultilevel"/>
    <w:tmpl w:val="EF1E142A"/>
    <w:lvl w:ilvl="0" w:tplc="0BEEE5C0">
      <w:start w:val="1"/>
      <w:numFmt w:val="bullet"/>
      <w:pStyle w:val="subclause3Bullet1"/>
      <w:lvlText w:val=""/>
      <w:lvlJc w:val="left"/>
      <w:pPr>
        <w:ind w:left="2988" w:hanging="360"/>
      </w:pPr>
      <w:rPr>
        <w:rFonts w:ascii="Symbol" w:hAnsi="Symbol" w:hint="default"/>
        <w:color w:val="000000"/>
      </w:rPr>
    </w:lvl>
    <w:lvl w:ilvl="1" w:tplc="A66294CA" w:tentative="1">
      <w:start w:val="1"/>
      <w:numFmt w:val="bullet"/>
      <w:lvlText w:val="o"/>
      <w:lvlJc w:val="left"/>
      <w:pPr>
        <w:ind w:left="3708" w:hanging="360"/>
      </w:pPr>
      <w:rPr>
        <w:rFonts w:ascii="Courier New" w:hAnsi="Courier New" w:cs="Courier New" w:hint="default"/>
      </w:rPr>
    </w:lvl>
    <w:lvl w:ilvl="2" w:tplc="A6BC17B0" w:tentative="1">
      <w:start w:val="1"/>
      <w:numFmt w:val="bullet"/>
      <w:lvlText w:val=""/>
      <w:lvlJc w:val="left"/>
      <w:pPr>
        <w:ind w:left="4428" w:hanging="360"/>
      </w:pPr>
      <w:rPr>
        <w:rFonts w:ascii="Wingdings" w:hAnsi="Wingdings" w:hint="default"/>
      </w:rPr>
    </w:lvl>
    <w:lvl w:ilvl="3" w:tplc="FD52EB7C" w:tentative="1">
      <w:start w:val="1"/>
      <w:numFmt w:val="bullet"/>
      <w:lvlText w:val=""/>
      <w:lvlJc w:val="left"/>
      <w:pPr>
        <w:ind w:left="5148" w:hanging="360"/>
      </w:pPr>
      <w:rPr>
        <w:rFonts w:ascii="Symbol" w:hAnsi="Symbol" w:hint="default"/>
      </w:rPr>
    </w:lvl>
    <w:lvl w:ilvl="4" w:tplc="B31CD292" w:tentative="1">
      <w:start w:val="1"/>
      <w:numFmt w:val="bullet"/>
      <w:lvlText w:val="o"/>
      <w:lvlJc w:val="left"/>
      <w:pPr>
        <w:ind w:left="5868" w:hanging="360"/>
      </w:pPr>
      <w:rPr>
        <w:rFonts w:ascii="Courier New" w:hAnsi="Courier New" w:cs="Courier New" w:hint="default"/>
      </w:rPr>
    </w:lvl>
    <w:lvl w:ilvl="5" w:tplc="AA701260" w:tentative="1">
      <w:start w:val="1"/>
      <w:numFmt w:val="bullet"/>
      <w:lvlText w:val=""/>
      <w:lvlJc w:val="left"/>
      <w:pPr>
        <w:ind w:left="6588" w:hanging="360"/>
      </w:pPr>
      <w:rPr>
        <w:rFonts w:ascii="Wingdings" w:hAnsi="Wingdings" w:hint="default"/>
      </w:rPr>
    </w:lvl>
    <w:lvl w:ilvl="6" w:tplc="521C90E4" w:tentative="1">
      <w:start w:val="1"/>
      <w:numFmt w:val="bullet"/>
      <w:lvlText w:val=""/>
      <w:lvlJc w:val="left"/>
      <w:pPr>
        <w:ind w:left="7308" w:hanging="360"/>
      </w:pPr>
      <w:rPr>
        <w:rFonts w:ascii="Symbol" w:hAnsi="Symbol" w:hint="default"/>
      </w:rPr>
    </w:lvl>
    <w:lvl w:ilvl="7" w:tplc="1E9A5F56" w:tentative="1">
      <w:start w:val="1"/>
      <w:numFmt w:val="bullet"/>
      <w:lvlText w:val="o"/>
      <w:lvlJc w:val="left"/>
      <w:pPr>
        <w:ind w:left="8028" w:hanging="360"/>
      </w:pPr>
      <w:rPr>
        <w:rFonts w:ascii="Courier New" w:hAnsi="Courier New" w:cs="Courier New" w:hint="default"/>
      </w:rPr>
    </w:lvl>
    <w:lvl w:ilvl="8" w:tplc="CE56788C" w:tentative="1">
      <w:start w:val="1"/>
      <w:numFmt w:val="bullet"/>
      <w:lvlText w:val=""/>
      <w:lvlJc w:val="left"/>
      <w:pPr>
        <w:ind w:left="8748" w:hanging="360"/>
      </w:pPr>
      <w:rPr>
        <w:rFonts w:ascii="Wingdings" w:hAnsi="Wingdings" w:hint="default"/>
      </w:rPr>
    </w:lvl>
  </w:abstractNum>
  <w:abstractNum w:abstractNumId="28" w15:restartNumberingAfterBreak="0">
    <w:nsid w:val="45ED58C9"/>
    <w:multiLevelType w:val="multilevel"/>
    <w:tmpl w:val="0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6AC04C6"/>
    <w:multiLevelType w:val="hybridMultilevel"/>
    <w:tmpl w:val="E6C47700"/>
    <w:lvl w:ilvl="0" w:tplc="AEBC156E">
      <w:start w:val="1"/>
      <w:numFmt w:val="bullet"/>
      <w:pStyle w:val="subclause2Bullet1"/>
      <w:lvlText w:val=""/>
      <w:lvlJc w:val="left"/>
      <w:pPr>
        <w:ind w:left="2279" w:hanging="360"/>
      </w:pPr>
      <w:rPr>
        <w:rFonts w:ascii="Symbol" w:hAnsi="Symbol" w:hint="default"/>
        <w:color w:val="000000"/>
      </w:rPr>
    </w:lvl>
    <w:lvl w:ilvl="1" w:tplc="A41E9C44" w:tentative="1">
      <w:start w:val="1"/>
      <w:numFmt w:val="bullet"/>
      <w:lvlText w:val="o"/>
      <w:lvlJc w:val="left"/>
      <w:pPr>
        <w:ind w:left="2999" w:hanging="360"/>
      </w:pPr>
      <w:rPr>
        <w:rFonts w:ascii="Courier New" w:hAnsi="Courier New" w:cs="Courier New" w:hint="default"/>
      </w:rPr>
    </w:lvl>
    <w:lvl w:ilvl="2" w:tplc="4F48D742" w:tentative="1">
      <w:start w:val="1"/>
      <w:numFmt w:val="bullet"/>
      <w:lvlText w:val=""/>
      <w:lvlJc w:val="left"/>
      <w:pPr>
        <w:ind w:left="3719" w:hanging="360"/>
      </w:pPr>
      <w:rPr>
        <w:rFonts w:ascii="Wingdings" w:hAnsi="Wingdings" w:hint="default"/>
      </w:rPr>
    </w:lvl>
    <w:lvl w:ilvl="3" w:tplc="78109B0E" w:tentative="1">
      <w:start w:val="1"/>
      <w:numFmt w:val="bullet"/>
      <w:lvlText w:val=""/>
      <w:lvlJc w:val="left"/>
      <w:pPr>
        <w:ind w:left="4439" w:hanging="360"/>
      </w:pPr>
      <w:rPr>
        <w:rFonts w:ascii="Symbol" w:hAnsi="Symbol" w:hint="default"/>
      </w:rPr>
    </w:lvl>
    <w:lvl w:ilvl="4" w:tplc="0672C0A6" w:tentative="1">
      <w:start w:val="1"/>
      <w:numFmt w:val="bullet"/>
      <w:lvlText w:val="o"/>
      <w:lvlJc w:val="left"/>
      <w:pPr>
        <w:ind w:left="5159" w:hanging="360"/>
      </w:pPr>
      <w:rPr>
        <w:rFonts w:ascii="Courier New" w:hAnsi="Courier New" w:cs="Courier New" w:hint="default"/>
      </w:rPr>
    </w:lvl>
    <w:lvl w:ilvl="5" w:tplc="47F4D492" w:tentative="1">
      <w:start w:val="1"/>
      <w:numFmt w:val="bullet"/>
      <w:lvlText w:val=""/>
      <w:lvlJc w:val="left"/>
      <w:pPr>
        <w:ind w:left="5879" w:hanging="360"/>
      </w:pPr>
      <w:rPr>
        <w:rFonts w:ascii="Wingdings" w:hAnsi="Wingdings" w:hint="default"/>
      </w:rPr>
    </w:lvl>
    <w:lvl w:ilvl="6" w:tplc="77D8083A" w:tentative="1">
      <w:start w:val="1"/>
      <w:numFmt w:val="bullet"/>
      <w:lvlText w:val=""/>
      <w:lvlJc w:val="left"/>
      <w:pPr>
        <w:ind w:left="6599" w:hanging="360"/>
      </w:pPr>
      <w:rPr>
        <w:rFonts w:ascii="Symbol" w:hAnsi="Symbol" w:hint="default"/>
      </w:rPr>
    </w:lvl>
    <w:lvl w:ilvl="7" w:tplc="DCD0C1B8" w:tentative="1">
      <w:start w:val="1"/>
      <w:numFmt w:val="bullet"/>
      <w:lvlText w:val="o"/>
      <w:lvlJc w:val="left"/>
      <w:pPr>
        <w:ind w:left="7319" w:hanging="360"/>
      </w:pPr>
      <w:rPr>
        <w:rFonts w:ascii="Courier New" w:hAnsi="Courier New" w:cs="Courier New" w:hint="default"/>
      </w:rPr>
    </w:lvl>
    <w:lvl w:ilvl="8" w:tplc="659EDDC8" w:tentative="1">
      <w:start w:val="1"/>
      <w:numFmt w:val="bullet"/>
      <w:lvlText w:val=""/>
      <w:lvlJc w:val="left"/>
      <w:pPr>
        <w:ind w:left="8039" w:hanging="360"/>
      </w:pPr>
      <w:rPr>
        <w:rFonts w:ascii="Wingdings" w:hAnsi="Wingdings" w:hint="default"/>
      </w:rPr>
    </w:lvl>
  </w:abstractNum>
  <w:abstractNum w:abstractNumId="30" w15:restartNumberingAfterBreak="0">
    <w:nsid w:val="47F42723"/>
    <w:multiLevelType w:val="hybridMultilevel"/>
    <w:tmpl w:val="C5A02EE6"/>
    <w:lvl w:ilvl="0" w:tplc="99EA45F6">
      <w:start w:val="1"/>
      <w:numFmt w:val="bullet"/>
      <w:pStyle w:val="subclause1Bullet1"/>
      <w:lvlText w:val=""/>
      <w:lvlJc w:val="left"/>
      <w:pPr>
        <w:ind w:left="1440" w:hanging="360"/>
      </w:pPr>
      <w:rPr>
        <w:rFonts w:ascii="Symbol" w:hAnsi="Symbol" w:hint="default"/>
        <w:color w:val="000000"/>
      </w:rPr>
    </w:lvl>
    <w:lvl w:ilvl="1" w:tplc="830AA11C" w:tentative="1">
      <w:start w:val="1"/>
      <w:numFmt w:val="bullet"/>
      <w:lvlText w:val="o"/>
      <w:lvlJc w:val="left"/>
      <w:pPr>
        <w:ind w:left="2160" w:hanging="360"/>
      </w:pPr>
      <w:rPr>
        <w:rFonts w:ascii="Courier New" w:hAnsi="Courier New" w:cs="Courier New" w:hint="default"/>
      </w:rPr>
    </w:lvl>
    <w:lvl w:ilvl="2" w:tplc="21FE5FF4" w:tentative="1">
      <w:start w:val="1"/>
      <w:numFmt w:val="bullet"/>
      <w:lvlText w:val=""/>
      <w:lvlJc w:val="left"/>
      <w:pPr>
        <w:ind w:left="2880" w:hanging="360"/>
      </w:pPr>
      <w:rPr>
        <w:rFonts w:ascii="Wingdings" w:hAnsi="Wingdings" w:hint="default"/>
      </w:rPr>
    </w:lvl>
    <w:lvl w:ilvl="3" w:tplc="72BCFC54" w:tentative="1">
      <w:start w:val="1"/>
      <w:numFmt w:val="bullet"/>
      <w:lvlText w:val=""/>
      <w:lvlJc w:val="left"/>
      <w:pPr>
        <w:ind w:left="3600" w:hanging="360"/>
      </w:pPr>
      <w:rPr>
        <w:rFonts w:ascii="Symbol" w:hAnsi="Symbol" w:hint="default"/>
      </w:rPr>
    </w:lvl>
    <w:lvl w:ilvl="4" w:tplc="A4585E08" w:tentative="1">
      <w:start w:val="1"/>
      <w:numFmt w:val="bullet"/>
      <w:lvlText w:val="o"/>
      <w:lvlJc w:val="left"/>
      <w:pPr>
        <w:ind w:left="4320" w:hanging="360"/>
      </w:pPr>
      <w:rPr>
        <w:rFonts w:ascii="Courier New" w:hAnsi="Courier New" w:cs="Courier New" w:hint="default"/>
      </w:rPr>
    </w:lvl>
    <w:lvl w:ilvl="5" w:tplc="CBC01206" w:tentative="1">
      <w:start w:val="1"/>
      <w:numFmt w:val="bullet"/>
      <w:lvlText w:val=""/>
      <w:lvlJc w:val="left"/>
      <w:pPr>
        <w:ind w:left="5040" w:hanging="360"/>
      </w:pPr>
      <w:rPr>
        <w:rFonts w:ascii="Wingdings" w:hAnsi="Wingdings" w:hint="default"/>
      </w:rPr>
    </w:lvl>
    <w:lvl w:ilvl="6" w:tplc="D9288182" w:tentative="1">
      <w:start w:val="1"/>
      <w:numFmt w:val="bullet"/>
      <w:lvlText w:val=""/>
      <w:lvlJc w:val="left"/>
      <w:pPr>
        <w:ind w:left="5760" w:hanging="360"/>
      </w:pPr>
      <w:rPr>
        <w:rFonts w:ascii="Symbol" w:hAnsi="Symbol" w:hint="default"/>
      </w:rPr>
    </w:lvl>
    <w:lvl w:ilvl="7" w:tplc="BD18E25E" w:tentative="1">
      <w:start w:val="1"/>
      <w:numFmt w:val="bullet"/>
      <w:lvlText w:val="o"/>
      <w:lvlJc w:val="left"/>
      <w:pPr>
        <w:ind w:left="6480" w:hanging="360"/>
      </w:pPr>
      <w:rPr>
        <w:rFonts w:ascii="Courier New" w:hAnsi="Courier New" w:cs="Courier New" w:hint="default"/>
      </w:rPr>
    </w:lvl>
    <w:lvl w:ilvl="8" w:tplc="D242E542" w:tentative="1">
      <w:start w:val="1"/>
      <w:numFmt w:val="bullet"/>
      <w:lvlText w:val=""/>
      <w:lvlJc w:val="left"/>
      <w:pPr>
        <w:ind w:left="7200" w:hanging="360"/>
      </w:pPr>
      <w:rPr>
        <w:rFonts w:ascii="Wingdings" w:hAnsi="Wingdings" w:hint="default"/>
      </w:rPr>
    </w:lvl>
  </w:abstractNum>
  <w:abstractNum w:abstractNumId="31" w15:restartNumberingAfterBreak="0">
    <w:nsid w:val="4B5C45F7"/>
    <w:multiLevelType w:val="multilevel"/>
    <w:tmpl w:val="73FC0DC2"/>
    <w:name w:val="Heading"/>
    <w:lvl w:ilvl="0">
      <w:start w:val="1"/>
      <w:numFmt w:val="decimal"/>
      <w:pStyle w:val="Heading1"/>
      <w:lvlText w:val="%1"/>
      <w:lvlJc w:val="left"/>
      <w:pPr>
        <w:tabs>
          <w:tab w:val="num" w:pos="851"/>
        </w:tabs>
        <w:ind w:left="851" w:hanging="851"/>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Heading3"/>
      <w:lvlText w:val="(%3)"/>
      <w:lvlJc w:val="left"/>
      <w:pPr>
        <w:tabs>
          <w:tab w:val="num" w:pos="1701"/>
        </w:tabs>
        <w:ind w:left="1701"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eading4"/>
      <w:lvlText w:val="(%4)"/>
      <w:lvlJc w:val="left"/>
      <w:pPr>
        <w:tabs>
          <w:tab w:val="num" w:pos="2552"/>
        </w:tabs>
        <w:ind w:left="2552"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Heading5"/>
      <w:lvlText w:val="(%5)"/>
      <w:lvlJc w:val="left"/>
      <w:pPr>
        <w:tabs>
          <w:tab w:val="num" w:pos="3402"/>
        </w:tabs>
        <w:ind w:left="3402"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Roman"/>
      <w:pStyle w:val="Heading6"/>
      <w:lvlText w:val="(%6)"/>
      <w:lvlJc w:val="left"/>
      <w:pPr>
        <w:tabs>
          <w:tab w:val="num" w:pos="4253"/>
        </w:tabs>
        <w:ind w:left="4253" w:hanging="851"/>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5CB0AF0"/>
    <w:multiLevelType w:val="hybridMultilevel"/>
    <w:tmpl w:val="EB98B43A"/>
    <w:lvl w:ilvl="0" w:tplc="FD20542E">
      <w:start w:val="1"/>
      <w:numFmt w:val="decimal"/>
      <w:pStyle w:val="LongQuestionPara"/>
      <w:lvlText w:val="%1."/>
      <w:lvlJc w:val="left"/>
      <w:pPr>
        <w:ind w:left="360" w:hanging="360"/>
      </w:pPr>
      <w:rPr>
        <w:rFonts w:hint="default"/>
        <w:b/>
        <w:i w:val="0"/>
        <w:color w:val="000000"/>
        <w:sz w:val="24"/>
      </w:rPr>
    </w:lvl>
    <w:lvl w:ilvl="1" w:tplc="00866BCA" w:tentative="1">
      <w:start w:val="1"/>
      <w:numFmt w:val="lowerLetter"/>
      <w:lvlText w:val="%2."/>
      <w:lvlJc w:val="left"/>
      <w:pPr>
        <w:ind w:left="1440" w:hanging="360"/>
      </w:pPr>
    </w:lvl>
    <w:lvl w:ilvl="2" w:tplc="9B720978" w:tentative="1">
      <w:start w:val="1"/>
      <w:numFmt w:val="lowerRoman"/>
      <w:lvlText w:val="%3."/>
      <w:lvlJc w:val="right"/>
      <w:pPr>
        <w:ind w:left="2160" w:hanging="180"/>
      </w:pPr>
    </w:lvl>
    <w:lvl w:ilvl="3" w:tplc="8B9090FA" w:tentative="1">
      <w:start w:val="1"/>
      <w:numFmt w:val="decimal"/>
      <w:lvlText w:val="%4."/>
      <w:lvlJc w:val="left"/>
      <w:pPr>
        <w:ind w:left="2880" w:hanging="360"/>
      </w:pPr>
    </w:lvl>
    <w:lvl w:ilvl="4" w:tplc="65FABE62" w:tentative="1">
      <w:start w:val="1"/>
      <w:numFmt w:val="lowerLetter"/>
      <w:lvlText w:val="%5."/>
      <w:lvlJc w:val="left"/>
      <w:pPr>
        <w:ind w:left="3600" w:hanging="360"/>
      </w:pPr>
    </w:lvl>
    <w:lvl w:ilvl="5" w:tplc="4A5C0772" w:tentative="1">
      <w:start w:val="1"/>
      <w:numFmt w:val="lowerRoman"/>
      <w:lvlText w:val="%6."/>
      <w:lvlJc w:val="right"/>
      <w:pPr>
        <w:ind w:left="4320" w:hanging="180"/>
      </w:pPr>
    </w:lvl>
    <w:lvl w:ilvl="6" w:tplc="0496357C" w:tentative="1">
      <w:start w:val="1"/>
      <w:numFmt w:val="decimal"/>
      <w:lvlText w:val="%7."/>
      <w:lvlJc w:val="left"/>
      <w:pPr>
        <w:ind w:left="5040" w:hanging="360"/>
      </w:pPr>
    </w:lvl>
    <w:lvl w:ilvl="7" w:tplc="48A2F39A" w:tentative="1">
      <w:start w:val="1"/>
      <w:numFmt w:val="lowerLetter"/>
      <w:lvlText w:val="%8."/>
      <w:lvlJc w:val="left"/>
      <w:pPr>
        <w:ind w:left="5760" w:hanging="360"/>
      </w:pPr>
    </w:lvl>
    <w:lvl w:ilvl="8" w:tplc="196CB00C" w:tentative="1">
      <w:start w:val="1"/>
      <w:numFmt w:val="lowerRoman"/>
      <w:lvlText w:val="%9."/>
      <w:lvlJc w:val="right"/>
      <w:pPr>
        <w:ind w:left="6480" w:hanging="180"/>
      </w:pPr>
    </w:lvl>
  </w:abstractNum>
  <w:abstractNum w:abstractNumId="33" w15:restartNumberingAfterBreak="0">
    <w:nsid w:val="57CB51E7"/>
    <w:multiLevelType w:val="multilevel"/>
    <w:tmpl w:val="AE0CAFA8"/>
    <w:name w:val="Single Annexure"/>
    <w:lvl w:ilvl="0">
      <w:start w:val="1"/>
      <w:numFmt w:val="none"/>
      <w:pStyle w:val="AnnexureHeadingSingle"/>
      <w:suff w:val="nothing"/>
      <w:lvlText w:val="Annexure"/>
      <w:lvlJc w:val="left"/>
      <w:pPr>
        <w:ind w:left="0" w:firstLine="0"/>
      </w:pPr>
      <w:rPr>
        <w:rFonts w:hint="default"/>
        <w:caps w:val="0"/>
      </w:rPr>
    </w:lvl>
    <w:lvl w:ilvl="1">
      <w:start w:val="1"/>
      <w:numFmt w:val="none"/>
      <w:pStyle w:val="AnnexureSubHeading"/>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4" w15:restartNumberingAfterBreak="0">
    <w:nsid w:val="601678CA"/>
    <w:multiLevelType w:val="multilevel"/>
    <w:tmpl w:val="FCD2CA5E"/>
    <w:name w:val="Schedule"/>
    <w:lvl w:ilvl="0">
      <w:start w:val="1"/>
      <w:numFmt w:val="decimal"/>
      <w:pStyle w:val="ScheduleHeading"/>
      <w:suff w:val="nothing"/>
      <w:lvlText w:val="Schedule %1"/>
      <w:lvlJc w:val="left"/>
      <w:pPr>
        <w:ind w:left="0" w:firstLine="0"/>
      </w:pPr>
      <w:rPr>
        <w:rFonts w:cs="Times New Roman" w:hint="default"/>
        <w:b/>
        <w:i w:val="0"/>
        <w:caps w:val="0"/>
        <w:kern w:val="0"/>
        <w:sz w:val="20"/>
      </w:rPr>
    </w:lvl>
    <w:lvl w:ilvl="1">
      <w:start w:val="1"/>
      <w:numFmt w:val="decimal"/>
      <w:pStyle w:val="PartHeading"/>
      <w:suff w:val="nothing"/>
      <w:lvlText w:val="Part %2"/>
      <w:lvlJc w:val="left"/>
      <w:pPr>
        <w:ind w:left="0" w:firstLine="0"/>
      </w:pPr>
      <w:rPr>
        <w:rFonts w:cs="Times New Roman" w:hint="default"/>
        <w:b/>
        <w:i w:val="0"/>
        <w:sz w:val="20"/>
      </w:rPr>
    </w:lvl>
    <w:lvl w:ilvl="2">
      <w:start w:val="1"/>
      <w:numFmt w:val="decimal"/>
      <w:lvlRestart w:val="1"/>
      <w:pStyle w:val="Level1"/>
      <w:lvlText w:val="%3"/>
      <w:lvlJc w:val="left"/>
      <w:pPr>
        <w:tabs>
          <w:tab w:val="num" w:pos="851"/>
        </w:tabs>
        <w:ind w:left="851" w:hanging="851"/>
      </w:pPr>
      <w:rPr>
        <w:rFonts w:ascii="Arial" w:hAnsi="Arial" w:cs="Times New Roman" w:hint="default"/>
        <w:sz w:val="20"/>
      </w:rPr>
    </w:lvl>
    <w:lvl w:ilvl="3">
      <w:start w:val="1"/>
      <w:numFmt w:val="decimal"/>
      <w:pStyle w:val="Level2"/>
      <w:lvlText w:val="%3.%4"/>
      <w:lvlJc w:val="left"/>
      <w:pPr>
        <w:tabs>
          <w:tab w:val="num" w:pos="851"/>
        </w:tabs>
        <w:ind w:left="851" w:hanging="851"/>
      </w:pPr>
      <w:rPr>
        <w:rFonts w:cs="Times New Roman" w:hint="default"/>
        <w:sz w:val="20"/>
      </w:rPr>
    </w:lvl>
    <w:lvl w:ilvl="4">
      <w:start w:val="1"/>
      <w:numFmt w:val="lowerLetter"/>
      <w:pStyle w:val="Level3"/>
      <w:lvlText w:val="(%5)"/>
      <w:lvlJc w:val="left"/>
      <w:pPr>
        <w:tabs>
          <w:tab w:val="num" w:pos="1701"/>
        </w:tabs>
        <w:ind w:left="1701" w:hanging="850"/>
      </w:pPr>
      <w:rPr>
        <w:rFonts w:cs="Times New Roman" w:hint="default"/>
        <w:sz w:val="20"/>
      </w:rPr>
    </w:lvl>
    <w:lvl w:ilvl="5">
      <w:start w:val="1"/>
      <w:numFmt w:val="lowerRoman"/>
      <w:pStyle w:val="Level4"/>
      <w:lvlText w:val="(%6)"/>
      <w:lvlJc w:val="left"/>
      <w:pPr>
        <w:tabs>
          <w:tab w:val="num" w:pos="2552"/>
        </w:tabs>
        <w:ind w:left="2552" w:hanging="851"/>
      </w:pPr>
      <w:rPr>
        <w:rFonts w:ascii="Arial" w:hAnsi="Arial" w:cs="Times New Roman" w:hint="default"/>
        <w:sz w:val="20"/>
      </w:rPr>
    </w:lvl>
    <w:lvl w:ilvl="6">
      <w:start w:val="1"/>
      <w:numFmt w:val="upperLetter"/>
      <w:pStyle w:val="Level5"/>
      <w:lvlText w:val="(%7)"/>
      <w:lvlJc w:val="left"/>
      <w:pPr>
        <w:tabs>
          <w:tab w:val="num" w:pos="3402"/>
        </w:tabs>
        <w:ind w:left="3402" w:hanging="850"/>
      </w:pPr>
      <w:rPr>
        <w:rFonts w:cs="Times New Roman" w:hint="default"/>
        <w:sz w:val="20"/>
      </w:rPr>
    </w:lvl>
    <w:lvl w:ilvl="7">
      <w:start w:val="1"/>
      <w:numFmt w:val="upperRoman"/>
      <w:pStyle w:val="Level6"/>
      <w:lvlText w:val="(%8)"/>
      <w:lvlJc w:val="left"/>
      <w:pPr>
        <w:tabs>
          <w:tab w:val="num" w:pos="4253"/>
        </w:tabs>
        <w:ind w:left="4253" w:hanging="851"/>
      </w:pPr>
      <w:rPr>
        <w:rFonts w:cs="Times New Roman" w:hint="default"/>
        <w:sz w:val="20"/>
      </w:rPr>
    </w:lvl>
    <w:lvl w:ilvl="8">
      <w:start w:val="1"/>
      <w:numFmt w:val="none"/>
      <w:suff w:val="nothing"/>
      <w:lvlText w:val=""/>
      <w:lvlJc w:val="left"/>
      <w:pPr>
        <w:ind w:left="0" w:firstLine="0"/>
      </w:pPr>
      <w:rPr>
        <w:rFonts w:ascii="Arial" w:hAnsi="Arial" w:cs="Times New Roman" w:hint="default"/>
        <w:b/>
        <w:i w:val="0"/>
        <w:caps/>
        <w:sz w:val="21"/>
      </w:rPr>
    </w:lvl>
  </w:abstractNum>
  <w:abstractNum w:abstractNumId="35" w15:restartNumberingAfterBreak="0">
    <w:nsid w:val="61071422"/>
    <w:multiLevelType w:val="hybridMultilevel"/>
    <w:tmpl w:val="59B858D8"/>
    <w:lvl w:ilvl="0" w:tplc="4204FB44">
      <w:start w:val="1"/>
      <w:numFmt w:val="bullet"/>
      <w:pStyle w:val="ClauseBullet1"/>
      <w:lvlText w:val=""/>
      <w:lvlJc w:val="left"/>
      <w:pPr>
        <w:ind w:left="1080" w:hanging="360"/>
      </w:pPr>
      <w:rPr>
        <w:rFonts w:ascii="Symbol" w:hAnsi="Symbol" w:hint="default"/>
        <w:color w:val="000000"/>
      </w:rPr>
    </w:lvl>
    <w:lvl w:ilvl="1" w:tplc="22266DD4" w:tentative="1">
      <w:start w:val="1"/>
      <w:numFmt w:val="bullet"/>
      <w:lvlText w:val="o"/>
      <w:lvlJc w:val="left"/>
      <w:pPr>
        <w:ind w:left="1800" w:hanging="360"/>
      </w:pPr>
      <w:rPr>
        <w:rFonts w:ascii="Courier New" w:hAnsi="Courier New" w:cs="Courier New" w:hint="default"/>
      </w:rPr>
    </w:lvl>
    <w:lvl w:ilvl="2" w:tplc="C1C66200" w:tentative="1">
      <w:start w:val="1"/>
      <w:numFmt w:val="bullet"/>
      <w:lvlText w:val=""/>
      <w:lvlJc w:val="left"/>
      <w:pPr>
        <w:ind w:left="2520" w:hanging="360"/>
      </w:pPr>
      <w:rPr>
        <w:rFonts w:ascii="Wingdings" w:hAnsi="Wingdings" w:hint="default"/>
      </w:rPr>
    </w:lvl>
    <w:lvl w:ilvl="3" w:tplc="F9E45D42" w:tentative="1">
      <w:start w:val="1"/>
      <w:numFmt w:val="bullet"/>
      <w:lvlText w:val=""/>
      <w:lvlJc w:val="left"/>
      <w:pPr>
        <w:ind w:left="3240" w:hanging="360"/>
      </w:pPr>
      <w:rPr>
        <w:rFonts w:ascii="Symbol" w:hAnsi="Symbol" w:hint="default"/>
      </w:rPr>
    </w:lvl>
    <w:lvl w:ilvl="4" w:tplc="23E08EF0" w:tentative="1">
      <w:start w:val="1"/>
      <w:numFmt w:val="bullet"/>
      <w:lvlText w:val="o"/>
      <w:lvlJc w:val="left"/>
      <w:pPr>
        <w:ind w:left="3960" w:hanging="360"/>
      </w:pPr>
      <w:rPr>
        <w:rFonts w:ascii="Courier New" w:hAnsi="Courier New" w:cs="Courier New" w:hint="default"/>
      </w:rPr>
    </w:lvl>
    <w:lvl w:ilvl="5" w:tplc="16B4758C" w:tentative="1">
      <w:start w:val="1"/>
      <w:numFmt w:val="bullet"/>
      <w:lvlText w:val=""/>
      <w:lvlJc w:val="left"/>
      <w:pPr>
        <w:ind w:left="4680" w:hanging="360"/>
      </w:pPr>
      <w:rPr>
        <w:rFonts w:ascii="Wingdings" w:hAnsi="Wingdings" w:hint="default"/>
      </w:rPr>
    </w:lvl>
    <w:lvl w:ilvl="6" w:tplc="DB609750" w:tentative="1">
      <w:start w:val="1"/>
      <w:numFmt w:val="bullet"/>
      <w:lvlText w:val=""/>
      <w:lvlJc w:val="left"/>
      <w:pPr>
        <w:ind w:left="5400" w:hanging="360"/>
      </w:pPr>
      <w:rPr>
        <w:rFonts w:ascii="Symbol" w:hAnsi="Symbol" w:hint="default"/>
      </w:rPr>
    </w:lvl>
    <w:lvl w:ilvl="7" w:tplc="7646B6DA" w:tentative="1">
      <w:start w:val="1"/>
      <w:numFmt w:val="bullet"/>
      <w:lvlText w:val="o"/>
      <w:lvlJc w:val="left"/>
      <w:pPr>
        <w:ind w:left="6120" w:hanging="360"/>
      </w:pPr>
      <w:rPr>
        <w:rFonts w:ascii="Courier New" w:hAnsi="Courier New" w:cs="Courier New" w:hint="default"/>
      </w:rPr>
    </w:lvl>
    <w:lvl w:ilvl="8" w:tplc="7E9EE66A" w:tentative="1">
      <w:start w:val="1"/>
      <w:numFmt w:val="bullet"/>
      <w:lvlText w:val=""/>
      <w:lvlJc w:val="left"/>
      <w:pPr>
        <w:ind w:left="6840" w:hanging="360"/>
      </w:pPr>
      <w:rPr>
        <w:rFonts w:ascii="Wingdings" w:hAnsi="Wingdings" w:hint="default"/>
      </w:rPr>
    </w:lvl>
  </w:abstractNum>
  <w:abstractNum w:abstractNumId="36" w15:restartNumberingAfterBreak="0">
    <w:nsid w:val="642371CD"/>
    <w:multiLevelType w:val="hybridMultilevel"/>
    <w:tmpl w:val="3B76A654"/>
    <w:lvl w:ilvl="0" w:tplc="C1D4544A">
      <w:start w:val="1"/>
      <w:numFmt w:val="bullet"/>
      <w:pStyle w:val="subclause3Bullet2"/>
      <w:lvlText w:val=""/>
      <w:lvlJc w:val="left"/>
      <w:pPr>
        <w:ind w:left="3748" w:hanging="360"/>
      </w:pPr>
      <w:rPr>
        <w:rFonts w:ascii="Symbol" w:hAnsi="Symbol" w:hint="default"/>
        <w:color w:val="000000"/>
      </w:rPr>
    </w:lvl>
    <w:lvl w:ilvl="1" w:tplc="14E298FC" w:tentative="1">
      <w:start w:val="1"/>
      <w:numFmt w:val="bullet"/>
      <w:lvlText w:val="o"/>
      <w:lvlJc w:val="left"/>
      <w:pPr>
        <w:ind w:left="4468" w:hanging="360"/>
      </w:pPr>
      <w:rPr>
        <w:rFonts w:ascii="Courier New" w:hAnsi="Courier New" w:cs="Courier New" w:hint="default"/>
      </w:rPr>
    </w:lvl>
    <w:lvl w:ilvl="2" w:tplc="80AE168C" w:tentative="1">
      <w:start w:val="1"/>
      <w:numFmt w:val="bullet"/>
      <w:lvlText w:val=""/>
      <w:lvlJc w:val="left"/>
      <w:pPr>
        <w:ind w:left="5188" w:hanging="360"/>
      </w:pPr>
      <w:rPr>
        <w:rFonts w:ascii="Wingdings" w:hAnsi="Wingdings" w:hint="default"/>
      </w:rPr>
    </w:lvl>
    <w:lvl w:ilvl="3" w:tplc="785CC926" w:tentative="1">
      <w:start w:val="1"/>
      <w:numFmt w:val="bullet"/>
      <w:lvlText w:val=""/>
      <w:lvlJc w:val="left"/>
      <w:pPr>
        <w:ind w:left="5908" w:hanging="360"/>
      </w:pPr>
      <w:rPr>
        <w:rFonts w:ascii="Symbol" w:hAnsi="Symbol" w:hint="default"/>
      </w:rPr>
    </w:lvl>
    <w:lvl w:ilvl="4" w:tplc="74BA6C52" w:tentative="1">
      <w:start w:val="1"/>
      <w:numFmt w:val="bullet"/>
      <w:lvlText w:val="o"/>
      <w:lvlJc w:val="left"/>
      <w:pPr>
        <w:ind w:left="6628" w:hanging="360"/>
      </w:pPr>
      <w:rPr>
        <w:rFonts w:ascii="Courier New" w:hAnsi="Courier New" w:cs="Courier New" w:hint="default"/>
      </w:rPr>
    </w:lvl>
    <w:lvl w:ilvl="5" w:tplc="F8DEDE94" w:tentative="1">
      <w:start w:val="1"/>
      <w:numFmt w:val="bullet"/>
      <w:lvlText w:val=""/>
      <w:lvlJc w:val="left"/>
      <w:pPr>
        <w:ind w:left="7348" w:hanging="360"/>
      </w:pPr>
      <w:rPr>
        <w:rFonts w:ascii="Wingdings" w:hAnsi="Wingdings" w:hint="default"/>
      </w:rPr>
    </w:lvl>
    <w:lvl w:ilvl="6" w:tplc="57A0EFF2" w:tentative="1">
      <w:start w:val="1"/>
      <w:numFmt w:val="bullet"/>
      <w:lvlText w:val=""/>
      <w:lvlJc w:val="left"/>
      <w:pPr>
        <w:ind w:left="8068" w:hanging="360"/>
      </w:pPr>
      <w:rPr>
        <w:rFonts w:ascii="Symbol" w:hAnsi="Symbol" w:hint="default"/>
      </w:rPr>
    </w:lvl>
    <w:lvl w:ilvl="7" w:tplc="9654AD3E" w:tentative="1">
      <w:start w:val="1"/>
      <w:numFmt w:val="bullet"/>
      <w:lvlText w:val="o"/>
      <w:lvlJc w:val="left"/>
      <w:pPr>
        <w:ind w:left="8788" w:hanging="360"/>
      </w:pPr>
      <w:rPr>
        <w:rFonts w:ascii="Courier New" w:hAnsi="Courier New" w:cs="Courier New" w:hint="default"/>
      </w:rPr>
    </w:lvl>
    <w:lvl w:ilvl="8" w:tplc="957083B4" w:tentative="1">
      <w:start w:val="1"/>
      <w:numFmt w:val="bullet"/>
      <w:lvlText w:val=""/>
      <w:lvlJc w:val="left"/>
      <w:pPr>
        <w:ind w:left="9508" w:hanging="360"/>
      </w:pPr>
      <w:rPr>
        <w:rFonts w:ascii="Wingdings" w:hAnsi="Wingdings" w:hint="default"/>
      </w:rPr>
    </w:lvl>
  </w:abstractNum>
  <w:abstractNum w:abstractNumId="37" w15:restartNumberingAfterBreak="0">
    <w:nsid w:val="664D6A5B"/>
    <w:multiLevelType w:val="multilevel"/>
    <w:tmpl w:val="08090023"/>
    <w:lvl w:ilvl="0">
      <w:start w:val="1"/>
      <w:numFmt w:val="upperRoman"/>
      <w:lvlText w:val="Article %1."/>
      <w:lvlJc w:val="left"/>
      <w:pPr>
        <w:ind w:left="0" w:firstLine="0"/>
      </w:pPr>
      <w:rPr>
        <w:rFonts w:ascii="Times New Roman" w:hAnsi="Times New Roman" w:cs="Times New Roman"/>
        <w:sz w:val="24"/>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ADF4683"/>
    <w:multiLevelType w:val="multilevel"/>
    <w:tmpl w:val="DD28FDF4"/>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1232D24"/>
    <w:multiLevelType w:val="multilevel"/>
    <w:tmpl w:val="09763F60"/>
    <w:name w:val="Single Schedule"/>
    <w:lvl w:ilvl="0">
      <w:start w:val="1"/>
      <w:numFmt w:val="none"/>
      <w:pStyle w:val="ScheduleHeadingSingle"/>
      <w:suff w:val="nothing"/>
      <w:lvlText w:val="Schedule"/>
      <w:lvlJc w:val="left"/>
      <w:pPr>
        <w:ind w:left="0" w:firstLine="0"/>
      </w:pPr>
      <w:rPr>
        <w:rFonts w:hint="default"/>
        <w:caps w:val="0"/>
      </w:rPr>
    </w:lvl>
    <w:lvl w:ilvl="1">
      <w:start w:val="1"/>
      <w:numFmt w:val="none"/>
      <w:pStyle w:val="ScheduleSubHeading"/>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733311763">
    <w:abstractNumId w:val="19"/>
  </w:num>
  <w:num w:numId="2" w16cid:durableId="1407265489">
    <w:abstractNumId w:val="23"/>
  </w:num>
  <w:num w:numId="3" w16cid:durableId="940139551">
    <w:abstractNumId w:val="21"/>
  </w:num>
  <w:num w:numId="4" w16cid:durableId="409666523">
    <w:abstractNumId w:val="20"/>
  </w:num>
  <w:num w:numId="5" w16cid:durableId="32973334">
    <w:abstractNumId w:val="32"/>
  </w:num>
  <w:num w:numId="6" w16cid:durableId="367149745">
    <w:abstractNumId w:val="35"/>
  </w:num>
  <w:num w:numId="7" w16cid:durableId="2089375803">
    <w:abstractNumId w:val="24"/>
  </w:num>
  <w:num w:numId="8" w16cid:durableId="1931230746">
    <w:abstractNumId w:val="30"/>
  </w:num>
  <w:num w:numId="9" w16cid:durableId="361253433">
    <w:abstractNumId w:val="27"/>
  </w:num>
  <w:num w:numId="10" w16cid:durableId="633605106">
    <w:abstractNumId w:val="29"/>
  </w:num>
  <w:num w:numId="11" w16cid:durableId="254944014">
    <w:abstractNumId w:val="26"/>
  </w:num>
  <w:num w:numId="12" w16cid:durableId="309095546">
    <w:abstractNumId w:val="22"/>
  </w:num>
  <w:num w:numId="13" w16cid:durableId="1572539476">
    <w:abstractNumId w:val="36"/>
  </w:num>
  <w:num w:numId="14" w16cid:durableId="660893258">
    <w:abstractNumId w:val="12"/>
  </w:num>
  <w:num w:numId="15" w16cid:durableId="859390635">
    <w:abstractNumId w:val="16"/>
  </w:num>
  <w:num w:numId="16" w16cid:durableId="16842373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8148135">
    <w:abstractNumId w:val="38"/>
  </w:num>
  <w:num w:numId="18" w16cid:durableId="1805003609">
    <w:abstractNumId w:val="17"/>
  </w:num>
  <w:num w:numId="19" w16cid:durableId="1553274207">
    <w:abstractNumId w:val="15"/>
  </w:num>
  <w:num w:numId="20" w16cid:durableId="1429234393">
    <w:abstractNumId w:val="25"/>
  </w:num>
  <w:num w:numId="21" w16cid:durableId="1023551875">
    <w:abstractNumId w:val="31"/>
  </w:num>
  <w:num w:numId="22" w16cid:durableId="1448037125">
    <w:abstractNumId w:val="34"/>
  </w:num>
  <w:num w:numId="23" w16cid:durableId="56053602">
    <w:abstractNumId w:val="13"/>
  </w:num>
  <w:num w:numId="24" w16cid:durableId="498931097">
    <w:abstractNumId w:val="18"/>
  </w:num>
  <w:num w:numId="25" w16cid:durableId="1842692627">
    <w:abstractNumId w:val="10"/>
  </w:num>
  <w:num w:numId="26" w16cid:durableId="781193750">
    <w:abstractNumId w:val="39"/>
  </w:num>
  <w:num w:numId="27" w16cid:durableId="1659462506">
    <w:abstractNumId w:val="33"/>
  </w:num>
  <w:num w:numId="28" w16cid:durableId="1073087209">
    <w:abstractNumId w:val="28"/>
  </w:num>
  <w:num w:numId="29" w16cid:durableId="6819329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32938991">
    <w:abstractNumId w:val="14"/>
  </w:num>
  <w:num w:numId="31" w16cid:durableId="1270775228">
    <w:abstractNumId w:val="37"/>
  </w:num>
  <w:num w:numId="32" w16cid:durableId="1122190793">
    <w:abstractNumId w:val="9"/>
  </w:num>
  <w:num w:numId="33" w16cid:durableId="809324874">
    <w:abstractNumId w:val="7"/>
  </w:num>
  <w:num w:numId="34" w16cid:durableId="156700442">
    <w:abstractNumId w:val="6"/>
  </w:num>
  <w:num w:numId="35" w16cid:durableId="1861704284">
    <w:abstractNumId w:val="5"/>
  </w:num>
  <w:num w:numId="36" w16cid:durableId="236790749">
    <w:abstractNumId w:val="4"/>
  </w:num>
  <w:num w:numId="37" w16cid:durableId="597831101">
    <w:abstractNumId w:val="8"/>
  </w:num>
  <w:num w:numId="38" w16cid:durableId="2076125709">
    <w:abstractNumId w:val="3"/>
  </w:num>
  <w:num w:numId="39" w16cid:durableId="852645872">
    <w:abstractNumId w:val="2"/>
  </w:num>
  <w:num w:numId="40" w16cid:durableId="1383671573">
    <w:abstractNumId w:val="1"/>
  </w:num>
  <w:num w:numId="41" w16cid:durableId="2059744556">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PartsVariable" w:val="&lt;docParts&gt;_x000d__x000a_  &lt;Precedent&gt;agreement&lt;/Precedent&gt;_x000d__x000a_  &lt;Operative&gt;paragraph&lt;/Operative&gt;_x000d__x000a_  &lt;TemplateType&gt;null&lt;/TemplateType&gt;_x000d__x000a_  &lt;SignaturePageBreakType&gt;Yes without message&lt;/SignaturePageBreakType&gt;_x000d__x000a_&lt;/docParts&gt;"/>
    <w:docVar w:name="gentXMLPartID" w:val="{24A54175-9E5F-4588-A767-354863FD728B}"/>
  </w:docVars>
  <w:rsids>
    <w:rsidRoot w:val="001442BA"/>
    <w:rsid w:val="0004546B"/>
    <w:rsid w:val="00050AFB"/>
    <w:rsid w:val="00073BE3"/>
    <w:rsid w:val="00096FDB"/>
    <w:rsid w:val="00135F40"/>
    <w:rsid w:val="001442BA"/>
    <w:rsid w:val="001E27A6"/>
    <w:rsid w:val="00207491"/>
    <w:rsid w:val="002801A0"/>
    <w:rsid w:val="003021BF"/>
    <w:rsid w:val="00315E10"/>
    <w:rsid w:val="004D234D"/>
    <w:rsid w:val="0051298B"/>
    <w:rsid w:val="005712F4"/>
    <w:rsid w:val="0058661A"/>
    <w:rsid w:val="0089047E"/>
    <w:rsid w:val="009C66E1"/>
    <w:rsid w:val="00B253D0"/>
    <w:rsid w:val="00C807D8"/>
    <w:rsid w:val="00C97CC7"/>
    <w:rsid w:val="00CA1935"/>
    <w:rsid w:val="00CC5F3E"/>
    <w:rsid w:val="00D043A8"/>
    <w:rsid w:val="00E51896"/>
    <w:rsid w:val="0CA67FA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8B10B"/>
  <w15:docId w15:val="{503FAB41-D3FE-45AA-BEE9-4E6700375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4"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nhideWhenUsed="1"/>
    <w:lsdException w:name="header" w:semiHidden="1" w:uiPriority="1" w:unhideWhenUsed="1"/>
    <w:lsdException w:name="footer" w:semiHidden="1" w:uiPriority="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 w:unhideWhenUsed="1"/>
    <w:lsdException w:name="annotation reference" w:semiHidden="1"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5F40"/>
    <w:pPr>
      <w:spacing w:after="0" w:line="240" w:lineRule="auto"/>
    </w:pPr>
    <w:rPr>
      <w:rFonts w:ascii="Arial" w:eastAsiaTheme="minorHAnsi" w:hAnsi="Arial" w:cs="Arial"/>
      <w:sz w:val="20"/>
      <w:szCs w:val="20"/>
      <w:lang w:eastAsia="en-US"/>
    </w:rPr>
  </w:style>
  <w:style w:type="paragraph" w:styleId="Heading1">
    <w:name w:val="heading 1"/>
    <w:next w:val="Body1"/>
    <w:link w:val="Heading1Char"/>
    <w:uiPriority w:val="1"/>
    <w:rsid w:val="00135F40"/>
    <w:pPr>
      <w:keepNext/>
      <w:numPr>
        <w:numId w:val="29"/>
      </w:numPr>
      <w:spacing w:after="240" w:line="240" w:lineRule="auto"/>
      <w:jc w:val="both"/>
      <w:outlineLvl w:val="0"/>
    </w:pPr>
    <w:rPr>
      <w:rFonts w:ascii="Arial" w:eastAsia="Times New Roman" w:hAnsi="Arial" w:cs="Times New Roman"/>
      <w:b/>
      <w:color w:val="000000" w:themeColor="text1"/>
      <w:sz w:val="20"/>
      <w:szCs w:val="20"/>
    </w:rPr>
  </w:style>
  <w:style w:type="paragraph" w:styleId="Heading2">
    <w:name w:val="heading 2"/>
    <w:link w:val="Heading2Char"/>
    <w:uiPriority w:val="1"/>
    <w:rsid w:val="00135F40"/>
    <w:pPr>
      <w:numPr>
        <w:ilvl w:val="1"/>
        <w:numId w:val="29"/>
      </w:numPr>
      <w:spacing w:after="240" w:line="240" w:lineRule="auto"/>
      <w:jc w:val="both"/>
      <w:outlineLvl w:val="1"/>
    </w:pPr>
    <w:rPr>
      <w:rFonts w:ascii="Arial" w:eastAsia="Times New Roman" w:hAnsi="Arial" w:cs="Times New Roman"/>
      <w:color w:val="000000" w:themeColor="text1"/>
      <w:sz w:val="20"/>
      <w:szCs w:val="20"/>
    </w:rPr>
  </w:style>
  <w:style w:type="paragraph" w:styleId="Heading3">
    <w:name w:val="heading 3"/>
    <w:link w:val="Heading3Char"/>
    <w:uiPriority w:val="1"/>
    <w:rsid w:val="00135F40"/>
    <w:pPr>
      <w:numPr>
        <w:ilvl w:val="2"/>
        <w:numId w:val="29"/>
      </w:numPr>
      <w:spacing w:after="240" w:line="240" w:lineRule="auto"/>
      <w:jc w:val="both"/>
      <w:outlineLvl w:val="2"/>
    </w:pPr>
    <w:rPr>
      <w:rFonts w:ascii="Arial" w:eastAsia="Times New Roman" w:hAnsi="Arial" w:cs="Times New Roman"/>
      <w:color w:val="000000" w:themeColor="text1"/>
      <w:sz w:val="20"/>
      <w:szCs w:val="20"/>
    </w:rPr>
  </w:style>
  <w:style w:type="paragraph" w:styleId="Heading4">
    <w:name w:val="heading 4"/>
    <w:link w:val="Heading4Char"/>
    <w:uiPriority w:val="1"/>
    <w:rsid w:val="00135F40"/>
    <w:pPr>
      <w:numPr>
        <w:ilvl w:val="3"/>
        <w:numId w:val="29"/>
      </w:numPr>
      <w:spacing w:after="240" w:line="240" w:lineRule="auto"/>
      <w:jc w:val="both"/>
      <w:outlineLvl w:val="3"/>
    </w:pPr>
    <w:rPr>
      <w:rFonts w:ascii="Arial" w:eastAsia="Times New Roman" w:hAnsi="Arial" w:cs="Times New Roman"/>
      <w:color w:val="000000" w:themeColor="text1"/>
      <w:sz w:val="20"/>
      <w:szCs w:val="20"/>
    </w:rPr>
  </w:style>
  <w:style w:type="paragraph" w:styleId="Heading5">
    <w:name w:val="heading 5"/>
    <w:link w:val="Heading5Char"/>
    <w:uiPriority w:val="1"/>
    <w:rsid w:val="00135F40"/>
    <w:pPr>
      <w:numPr>
        <w:ilvl w:val="4"/>
        <w:numId w:val="29"/>
      </w:numPr>
      <w:spacing w:after="240" w:line="240" w:lineRule="auto"/>
      <w:jc w:val="both"/>
      <w:outlineLvl w:val="4"/>
    </w:pPr>
    <w:rPr>
      <w:rFonts w:ascii="Arial" w:eastAsia="Times New Roman" w:hAnsi="Arial" w:cs="Times New Roman"/>
      <w:color w:val="000000" w:themeColor="text1"/>
      <w:sz w:val="20"/>
      <w:szCs w:val="20"/>
    </w:rPr>
  </w:style>
  <w:style w:type="paragraph" w:styleId="Heading6">
    <w:name w:val="heading 6"/>
    <w:link w:val="Heading6Char"/>
    <w:uiPriority w:val="1"/>
    <w:rsid w:val="00135F40"/>
    <w:pPr>
      <w:numPr>
        <w:ilvl w:val="5"/>
        <w:numId w:val="29"/>
      </w:numPr>
      <w:spacing w:after="240" w:line="240" w:lineRule="auto"/>
      <w:jc w:val="both"/>
      <w:outlineLvl w:val="5"/>
    </w:pPr>
    <w:rPr>
      <w:rFonts w:ascii="Arial" w:eastAsia="Times New Roman" w:hAnsi="Arial" w:cs="Times New Roman"/>
      <w:color w:val="000000" w:themeColor="text1"/>
      <w:sz w:val="20"/>
      <w:szCs w:val="20"/>
    </w:rPr>
  </w:style>
  <w:style w:type="paragraph" w:styleId="Heading7">
    <w:name w:val="heading 7"/>
    <w:basedOn w:val="Normal"/>
    <w:next w:val="Normal"/>
    <w:link w:val="Heading7Char"/>
    <w:uiPriority w:val="99"/>
    <w:semiHidden/>
    <w:qFormat/>
    <w:rsid w:val="00135F40"/>
    <w:pPr>
      <w:jc w:val="both"/>
      <w:outlineLvl w:val="6"/>
    </w:pPr>
  </w:style>
  <w:style w:type="paragraph" w:styleId="Heading8">
    <w:name w:val="heading 8"/>
    <w:basedOn w:val="Normal"/>
    <w:next w:val="Normal"/>
    <w:link w:val="Heading8Char"/>
    <w:uiPriority w:val="99"/>
    <w:semiHidden/>
    <w:qFormat/>
    <w:rsid w:val="00135F40"/>
    <w:pPr>
      <w:jc w:val="both"/>
      <w:outlineLvl w:val="7"/>
    </w:pPr>
  </w:style>
  <w:style w:type="paragraph" w:styleId="Heading9">
    <w:name w:val="heading 9"/>
    <w:basedOn w:val="Normal"/>
    <w:next w:val="Normal"/>
    <w:link w:val="Heading9Char"/>
    <w:uiPriority w:val="99"/>
    <w:semiHidden/>
    <w:qFormat/>
    <w:rsid w:val="00135F40"/>
    <w:pPr>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link w:val="AbstractChar"/>
    <w:rsid w:val="00FA51BA"/>
    <w:pPr>
      <w:spacing w:after="120" w:line="240" w:lineRule="auto"/>
    </w:pPr>
    <w:rPr>
      <w:rFonts w:ascii="Arial" w:eastAsia="Arial Unicode MS" w:hAnsi="Arial" w:cs="Arial"/>
      <w:color w:val="000000"/>
      <w:sz w:val="24"/>
      <w:szCs w:val="24"/>
      <w:lang w:val="en-US" w:eastAsia="en-US"/>
    </w:rPr>
  </w:style>
  <w:style w:type="character" w:customStyle="1" w:styleId="AbstractChar">
    <w:name w:val="Abstract Char"/>
    <w:link w:val="Abstract"/>
    <w:rsid w:val="00FA51BA"/>
    <w:rPr>
      <w:rFonts w:ascii="Arial" w:eastAsia="Arial Unicode MS" w:hAnsi="Arial" w:cs="Arial"/>
      <w:color w:val="000000"/>
      <w:sz w:val="24"/>
      <w:szCs w:val="24"/>
      <w:lang w:val="en-US" w:eastAsia="en-US"/>
    </w:rPr>
  </w:style>
  <w:style w:type="paragraph" w:customStyle="1" w:styleId="Annex">
    <w:name w:val="Annex"/>
    <w:basedOn w:val="Paragraph"/>
    <w:next w:val="Paragraph"/>
    <w:qFormat/>
    <w:rsid w:val="00FA51BA"/>
    <w:pPr>
      <w:numPr>
        <w:numId w:val="4"/>
      </w:numPr>
      <w:spacing w:before="240" w:after="240"/>
      <w:ind w:left="0" w:firstLine="0"/>
    </w:pPr>
    <w:rPr>
      <w:b/>
    </w:rPr>
  </w:style>
  <w:style w:type="paragraph" w:customStyle="1" w:styleId="AuthoringGroup">
    <w:name w:val="Authoring Group"/>
    <w:link w:val="AuthoringGroupChar"/>
    <w:rsid w:val="00FA51BA"/>
    <w:pPr>
      <w:spacing w:after="120" w:line="240" w:lineRule="auto"/>
    </w:pPr>
    <w:rPr>
      <w:rFonts w:ascii="Arial" w:eastAsia="Arial Unicode MS" w:hAnsi="Arial" w:cs="Arial"/>
      <w:color w:val="000000"/>
      <w:sz w:val="24"/>
      <w:lang w:val="en-US" w:eastAsia="en-US"/>
    </w:rPr>
  </w:style>
  <w:style w:type="character" w:customStyle="1" w:styleId="AuthoringGroupChar">
    <w:name w:val="Authoring Group Char"/>
    <w:link w:val="AuthoringGroup"/>
    <w:rsid w:val="00FA51BA"/>
    <w:rPr>
      <w:rFonts w:ascii="Arial" w:eastAsia="Arial Unicode MS" w:hAnsi="Arial" w:cs="Arial"/>
      <w:color w:val="000000"/>
      <w:sz w:val="24"/>
      <w:lang w:val="en-US" w:eastAsia="en-US"/>
    </w:rPr>
  </w:style>
  <w:style w:type="paragraph" w:customStyle="1" w:styleId="Background">
    <w:name w:val="Background"/>
    <w:aliases w:val="(A) Background"/>
    <w:uiPriority w:val="1"/>
    <w:rsid w:val="00135F40"/>
    <w:pPr>
      <w:numPr>
        <w:numId w:val="24"/>
      </w:numPr>
      <w:spacing w:after="240" w:line="240" w:lineRule="auto"/>
      <w:jc w:val="both"/>
    </w:pPr>
    <w:rPr>
      <w:rFonts w:ascii="Arial" w:eastAsia="Times New Roman" w:hAnsi="Arial" w:cs="Times New Roman"/>
      <w:color w:val="000000" w:themeColor="text1"/>
      <w:sz w:val="20"/>
      <w:szCs w:val="20"/>
    </w:rPr>
  </w:style>
  <w:style w:type="paragraph" w:customStyle="1" w:styleId="BulletList1">
    <w:name w:val="Bullet List 1"/>
    <w:aliases w:val="Bullet1"/>
    <w:uiPriority w:val="1"/>
    <w:rsid w:val="00135F40"/>
    <w:pPr>
      <w:numPr>
        <w:numId w:val="19"/>
      </w:numPr>
      <w:spacing w:after="0" w:line="240" w:lineRule="auto"/>
      <w:jc w:val="both"/>
    </w:pPr>
    <w:rPr>
      <w:rFonts w:ascii="Arial" w:eastAsia="Times New Roman" w:hAnsi="Arial" w:cs="Times New Roman"/>
      <w:color w:val="000000" w:themeColor="text1"/>
      <w:sz w:val="20"/>
      <w:szCs w:val="20"/>
    </w:rPr>
  </w:style>
  <w:style w:type="paragraph" w:customStyle="1" w:styleId="BulletList2">
    <w:name w:val="Bullet List 2"/>
    <w:aliases w:val="Bullet2"/>
    <w:uiPriority w:val="1"/>
    <w:rsid w:val="00135F40"/>
    <w:pPr>
      <w:numPr>
        <w:ilvl w:val="1"/>
        <w:numId w:val="19"/>
      </w:numPr>
      <w:spacing w:after="0" w:line="240" w:lineRule="auto"/>
      <w:jc w:val="both"/>
    </w:pPr>
    <w:rPr>
      <w:rFonts w:ascii="Arial" w:eastAsia="Times New Roman" w:hAnsi="Arial" w:cs="Times New Roman"/>
      <w:color w:val="000000" w:themeColor="text1"/>
      <w:sz w:val="20"/>
      <w:szCs w:val="20"/>
    </w:rPr>
  </w:style>
  <w:style w:type="paragraph" w:customStyle="1" w:styleId="BulletList3">
    <w:name w:val="Bullet List 3"/>
    <w:aliases w:val="Bullet3"/>
    <w:uiPriority w:val="1"/>
    <w:rsid w:val="00135F40"/>
    <w:pPr>
      <w:numPr>
        <w:ilvl w:val="2"/>
        <w:numId w:val="19"/>
      </w:numPr>
      <w:spacing w:after="0" w:line="240" w:lineRule="auto"/>
      <w:jc w:val="both"/>
    </w:pPr>
    <w:rPr>
      <w:rFonts w:ascii="Arial" w:eastAsia="Times New Roman" w:hAnsi="Arial" w:cs="Times New Roman"/>
      <w:color w:val="000000" w:themeColor="text1"/>
      <w:sz w:val="20"/>
      <w:szCs w:val="20"/>
    </w:rPr>
  </w:style>
  <w:style w:type="paragraph" w:customStyle="1" w:styleId="TitleClause">
    <w:name w:val="Title Clause"/>
    <w:basedOn w:val="Normal"/>
    <w:rsid w:val="00FA51BA"/>
    <w:pPr>
      <w:keepNext/>
      <w:numPr>
        <w:numId w:val="16"/>
      </w:numPr>
      <w:spacing w:before="240" w:after="240" w:line="300" w:lineRule="atLeast"/>
      <w:jc w:val="both"/>
      <w:outlineLvl w:val="0"/>
    </w:pPr>
    <w:rPr>
      <w:rFonts w:eastAsia="Arial Unicode MS"/>
      <w:b/>
      <w:color w:val="000000"/>
      <w:kern w:val="28"/>
    </w:rPr>
  </w:style>
  <w:style w:type="paragraph" w:customStyle="1" w:styleId="ClauseNoTitle">
    <w:name w:val="Clause No Title"/>
    <w:basedOn w:val="TitleClause"/>
    <w:rsid w:val="00FA51BA"/>
    <w:rPr>
      <w:b w:val="0"/>
      <w:smallCaps/>
    </w:rPr>
  </w:style>
  <w:style w:type="paragraph" w:customStyle="1" w:styleId="ClosingPara">
    <w:name w:val="Closing Para"/>
    <w:basedOn w:val="Normal"/>
    <w:rsid w:val="00FA51BA"/>
    <w:pPr>
      <w:spacing w:before="120" w:after="240" w:line="300" w:lineRule="atLeast"/>
      <w:jc w:val="both"/>
    </w:pPr>
    <w:rPr>
      <w:rFonts w:eastAsia="Arial Unicode MS"/>
      <w:color w:val="000000"/>
    </w:rPr>
  </w:style>
  <w:style w:type="paragraph" w:customStyle="1" w:styleId="ClosingSignOff">
    <w:name w:val="Closing SignOff"/>
    <w:basedOn w:val="Normal"/>
    <w:rsid w:val="00FA51BA"/>
    <w:pPr>
      <w:spacing w:after="120" w:line="300" w:lineRule="atLeast"/>
      <w:jc w:val="both"/>
    </w:pPr>
    <w:rPr>
      <w:rFonts w:eastAsia="Arial Unicode MS"/>
      <w:color w:val="000000"/>
    </w:rPr>
  </w:style>
  <w:style w:type="paragraph" w:customStyle="1" w:styleId="CoversheetTitle">
    <w:name w:val="Coversheet Title"/>
    <w:basedOn w:val="Normal"/>
    <w:autoRedefine/>
    <w:rsid w:val="00FA51BA"/>
    <w:pPr>
      <w:spacing w:before="480" w:after="480" w:line="300" w:lineRule="atLeast"/>
      <w:jc w:val="center"/>
    </w:pPr>
    <w:rPr>
      <w:rFonts w:eastAsia="Arial Unicode MS"/>
      <w:b/>
      <w:smallCaps/>
      <w:color w:val="000000"/>
      <w:sz w:val="28"/>
    </w:rPr>
  </w:style>
  <w:style w:type="paragraph" w:customStyle="1" w:styleId="CoverSheetHeading">
    <w:name w:val="Cover Sheet Heading"/>
    <w:aliases w:val="Coversheet Title2"/>
    <w:basedOn w:val="CoversheetTitle"/>
    <w:rsid w:val="00FA51BA"/>
  </w:style>
  <w:style w:type="paragraph" w:customStyle="1" w:styleId="CoverSheetSubjectText">
    <w:name w:val="Cover Sheet Subject Text"/>
    <w:basedOn w:val="Normal"/>
    <w:rsid w:val="00FA51BA"/>
    <w:pPr>
      <w:spacing w:line="300" w:lineRule="atLeast"/>
      <w:jc w:val="center"/>
    </w:pPr>
    <w:rPr>
      <w:rFonts w:eastAsia="Arial Unicode MS"/>
      <w:color w:val="000000"/>
    </w:rPr>
  </w:style>
  <w:style w:type="paragraph" w:customStyle="1" w:styleId="CoverSheetSubjectTitle">
    <w:name w:val="Cover Sheet Subject Title"/>
    <w:basedOn w:val="Normal"/>
    <w:rsid w:val="00FA51BA"/>
    <w:pPr>
      <w:spacing w:line="300" w:lineRule="atLeast"/>
      <w:jc w:val="center"/>
    </w:pPr>
    <w:rPr>
      <w:rFonts w:eastAsia="Arial Unicode MS"/>
      <w:color w:val="000000"/>
    </w:rPr>
  </w:style>
  <w:style w:type="paragraph" w:customStyle="1" w:styleId="DefinedTermPara">
    <w:name w:val="Defined Term Para"/>
    <w:basedOn w:val="Paragraph"/>
    <w:qFormat/>
    <w:rsid w:val="00FA51BA"/>
    <w:pPr>
      <w:numPr>
        <w:numId w:val="17"/>
      </w:numPr>
    </w:pPr>
  </w:style>
  <w:style w:type="paragraph" w:customStyle="1" w:styleId="DescriptiveHeading">
    <w:name w:val="DescriptiveHeading"/>
    <w:next w:val="Paragraph"/>
    <w:link w:val="DescriptiveHeadingChar"/>
    <w:rsid w:val="00FA51BA"/>
    <w:pPr>
      <w:spacing w:before="360" w:after="360" w:line="240" w:lineRule="auto"/>
      <w:outlineLvl w:val="0"/>
    </w:pPr>
    <w:rPr>
      <w:rFonts w:ascii="Arial" w:eastAsia="Arial Unicode MS" w:hAnsi="Arial" w:cs="Arial"/>
      <w:b/>
      <w:color w:val="000000"/>
      <w:lang w:val="en-US" w:eastAsia="en-US"/>
    </w:rPr>
  </w:style>
  <w:style w:type="character" w:customStyle="1" w:styleId="DescriptiveHeadingChar">
    <w:name w:val="DescriptiveHeading Char"/>
    <w:link w:val="DescriptiveHeading"/>
    <w:rsid w:val="00FA51BA"/>
    <w:rPr>
      <w:rFonts w:ascii="Arial" w:eastAsia="Arial Unicode MS" w:hAnsi="Arial" w:cs="Arial"/>
      <w:b/>
      <w:color w:val="000000"/>
      <w:lang w:val="en-US" w:eastAsia="en-US"/>
    </w:rPr>
  </w:style>
  <w:style w:type="paragraph" w:customStyle="1" w:styleId="DraftingnoteSection1Para">
    <w:name w:val="Draftingnote Section1 Para"/>
    <w:basedOn w:val="Normal"/>
    <w:rsid w:val="00FA51BA"/>
    <w:pPr>
      <w:spacing w:after="120" w:line="300" w:lineRule="atLeast"/>
      <w:jc w:val="both"/>
    </w:pPr>
    <w:rPr>
      <w:rFonts w:eastAsia="Arial Unicode MS"/>
      <w:color w:val="000000"/>
    </w:rPr>
  </w:style>
  <w:style w:type="paragraph" w:customStyle="1" w:styleId="DraftingnoteSection1Title">
    <w:name w:val="Draftingnote Section1 Title"/>
    <w:basedOn w:val="Normal"/>
    <w:rsid w:val="00FA51BA"/>
    <w:pPr>
      <w:spacing w:after="120" w:line="300" w:lineRule="atLeast"/>
      <w:jc w:val="both"/>
    </w:pPr>
    <w:rPr>
      <w:rFonts w:eastAsia="Arial Unicode MS"/>
      <w:b/>
      <w:color w:val="000000"/>
      <w:sz w:val="36"/>
    </w:rPr>
  </w:style>
  <w:style w:type="paragraph" w:customStyle="1" w:styleId="DraftingnoteSection2Para">
    <w:name w:val="Draftingnote Section2 Para"/>
    <w:basedOn w:val="Normal"/>
    <w:rsid w:val="00FA51BA"/>
    <w:pPr>
      <w:spacing w:after="120" w:line="300" w:lineRule="atLeast"/>
      <w:jc w:val="both"/>
    </w:pPr>
    <w:rPr>
      <w:rFonts w:eastAsia="Arial Unicode MS"/>
      <w:color w:val="000000"/>
    </w:rPr>
  </w:style>
  <w:style w:type="paragraph" w:customStyle="1" w:styleId="DraftingnoteSection2Title">
    <w:name w:val="Draftingnote Section2 Title"/>
    <w:basedOn w:val="Normal"/>
    <w:rsid w:val="00FA51BA"/>
    <w:pPr>
      <w:spacing w:after="120" w:line="300" w:lineRule="atLeast"/>
      <w:jc w:val="both"/>
    </w:pPr>
    <w:rPr>
      <w:rFonts w:eastAsia="Arial Unicode MS"/>
      <w:b/>
      <w:color w:val="000000"/>
      <w:sz w:val="28"/>
    </w:rPr>
  </w:style>
  <w:style w:type="paragraph" w:customStyle="1" w:styleId="DraftingnoteSection3Para">
    <w:name w:val="Draftingnote Section3 Para"/>
    <w:basedOn w:val="Normal"/>
    <w:rsid w:val="00FA51BA"/>
    <w:pPr>
      <w:spacing w:after="120" w:line="300" w:lineRule="atLeast"/>
      <w:jc w:val="both"/>
    </w:pPr>
    <w:rPr>
      <w:rFonts w:eastAsia="Arial Unicode MS"/>
      <w:color w:val="000000"/>
    </w:rPr>
  </w:style>
  <w:style w:type="paragraph" w:customStyle="1" w:styleId="DraftingnoteSection3Title">
    <w:name w:val="Draftingnote Section3 Title"/>
    <w:basedOn w:val="Normal"/>
    <w:rsid w:val="00FA51BA"/>
    <w:pPr>
      <w:spacing w:after="120" w:line="300" w:lineRule="atLeast"/>
      <w:jc w:val="both"/>
    </w:pPr>
    <w:rPr>
      <w:rFonts w:eastAsia="Arial Unicode MS"/>
      <w:b/>
      <w:i/>
      <w:color w:val="000000"/>
      <w:sz w:val="28"/>
    </w:rPr>
  </w:style>
  <w:style w:type="paragraph" w:customStyle="1" w:styleId="DraftingnoteSection4Para">
    <w:name w:val="Draftingnote Section4 Para"/>
    <w:basedOn w:val="Normal"/>
    <w:rsid w:val="00FA51BA"/>
    <w:pPr>
      <w:spacing w:after="120" w:line="300" w:lineRule="atLeast"/>
      <w:jc w:val="both"/>
    </w:pPr>
    <w:rPr>
      <w:rFonts w:eastAsia="Arial Unicode MS"/>
      <w:color w:val="000000"/>
    </w:rPr>
  </w:style>
  <w:style w:type="paragraph" w:customStyle="1" w:styleId="DraftingnoteSection4Title">
    <w:name w:val="Draftingnote Section4 Title"/>
    <w:basedOn w:val="Normal"/>
    <w:rsid w:val="00FA51BA"/>
    <w:pPr>
      <w:spacing w:after="120" w:line="300" w:lineRule="atLeast"/>
      <w:jc w:val="both"/>
    </w:pPr>
    <w:rPr>
      <w:rFonts w:eastAsia="Arial Unicode MS"/>
      <w:b/>
      <w:i/>
      <w:color w:val="000000"/>
      <w:sz w:val="28"/>
    </w:rPr>
  </w:style>
  <w:style w:type="paragraph" w:customStyle="1" w:styleId="DraftingnoteTitle">
    <w:name w:val="Draftingnote Title"/>
    <w:basedOn w:val="Normal"/>
    <w:rsid w:val="00FA51BA"/>
    <w:pPr>
      <w:spacing w:after="120" w:line="300" w:lineRule="atLeast"/>
      <w:jc w:val="both"/>
    </w:pPr>
    <w:rPr>
      <w:rFonts w:eastAsia="Arial Unicode MS"/>
      <w:b/>
      <w:color w:val="000000"/>
      <w:sz w:val="28"/>
    </w:rPr>
  </w:style>
  <w:style w:type="paragraph" w:customStyle="1" w:styleId="FulltextBridgehead">
    <w:name w:val="Fulltext Bridgehead"/>
    <w:basedOn w:val="Normal"/>
    <w:rsid w:val="00FA51BA"/>
    <w:pPr>
      <w:spacing w:after="120" w:line="300" w:lineRule="atLeast"/>
      <w:jc w:val="both"/>
    </w:pPr>
    <w:rPr>
      <w:rFonts w:eastAsia="Arial Unicode MS"/>
      <w:b/>
      <w:color w:val="000000"/>
      <w:sz w:val="48"/>
    </w:rPr>
  </w:style>
  <w:style w:type="paragraph" w:customStyle="1" w:styleId="FulltextSection1Para">
    <w:name w:val="Fulltext Section1 Para"/>
    <w:basedOn w:val="Normal"/>
    <w:rsid w:val="00FA51BA"/>
    <w:pPr>
      <w:spacing w:after="120" w:line="300" w:lineRule="atLeast"/>
      <w:jc w:val="both"/>
    </w:pPr>
    <w:rPr>
      <w:rFonts w:eastAsia="Arial Unicode MS"/>
      <w:color w:val="000000"/>
    </w:rPr>
  </w:style>
  <w:style w:type="paragraph" w:customStyle="1" w:styleId="FulltextSection1Title">
    <w:name w:val="Fulltext Section1 Title"/>
    <w:basedOn w:val="Normal"/>
    <w:rsid w:val="00FA51BA"/>
    <w:pPr>
      <w:spacing w:after="120" w:line="300" w:lineRule="atLeast"/>
      <w:jc w:val="both"/>
    </w:pPr>
    <w:rPr>
      <w:rFonts w:eastAsia="Arial Unicode MS"/>
      <w:b/>
      <w:color w:val="000000"/>
      <w:sz w:val="36"/>
    </w:rPr>
  </w:style>
  <w:style w:type="paragraph" w:customStyle="1" w:styleId="FulltextSection2Para">
    <w:name w:val="Fulltext Section2 Para"/>
    <w:basedOn w:val="Normal"/>
    <w:rsid w:val="00FA51BA"/>
    <w:pPr>
      <w:spacing w:after="120" w:line="300" w:lineRule="atLeast"/>
      <w:jc w:val="both"/>
    </w:pPr>
    <w:rPr>
      <w:rFonts w:eastAsia="Arial Unicode MS"/>
      <w:color w:val="000000"/>
    </w:rPr>
  </w:style>
  <w:style w:type="paragraph" w:customStyle="1" w:styleId="FulltextSection2Title">
    <w:name w:val="Fulltext Section2 Title"/>
    <w:basedOn w:val="Normal"/>
    <w:rsid w:val="00FA51BA"/>
    <w:pPr>
      <w:spacing w:after="120" w:line="300" w:lineRule="atLeast"/>
      <w:jc w:val="both"/>
    </w:pPr>
    <w:rPr>
      <w:rFonts w:eastAsia="Arial Unicode MS"/>
      <w:b/>
      <w:color w:val="000000"/>
      <w:sz w:val="28"/>
    </w:rPr>
  </w:style>
  <w:style w:type="paragraph" w:customStyle="1" w:styleId="FulltextSection3Para">
    <w:name w:val="Fulltext Section3 Para"/>
    <w:basedOn w:val="Normal"/>
    <w:rsid w:val="00FA51BA"/>
    <w:pPr>
      <w:spacing w:after="120" w:line="300" w:lineRule="atLeast"/>
      <w:jc w:val="both"/>
    </w:pPr>
    <w:rPr>
      <w:rFonts w:eastAsia="Arial Unicode MS"/>
      <w:color w:val="000000"/>
    </w:rPr>
  </w:style>
  <w:style w:type="paragraph" w:customStyle="1" w:styleId="FulltextSection3Title">
    <w:name w:val="Fulltext Section3 Title"/>
    <w:basedOn w:val="Normal"/>
    <w:rsid w:val="00FA51BA"/>
    <w:pPr>
      <w:spacing w:after="120" w:line="300" w:lineRule="atLeast"/>
      <w:jc w:val="both"/>
    </w:pPr>
    <w:rPr>
      <w:rFonts w:eastAsia="Arial Unicode MS"/>
      <w:b/>
      <w:i/>
      <w:color w:val="000000"/>
      <w:sz w:val="28"/>
    </w:rPr>
  </w:style>
  <w:style w:type="paragraph" w:customStyle="1" w:styleId="FulltextSection4Para">
    <w:name w:val="Fulltext Section4 Para"/>
    <w:basedOn w:val="Normal"/>
    <w:rsid w:val="00FA51BA"/>
    <w:pPr>
      <w:spacing w:after="120" w:line="300" w:lineRule="atLeast"/>
      <w:jc w:val="both"/>
    </w:pPr>
    <w:rPr>
      <w:rFonts w:eastAsia="Arial Unicode MS"/>
      <w:color w:val="000000"/>
    </w:rPr>
  </w:style>
  <w:style w:type="paragraph" w:customStyle="1" w:styleId="FulltextSection4Title">
    <w:name w:val="Fulltext Section4 Title"/>
    <w:basedOn w:val="Normal"/>
    <w:rsid w:val="00FA51BA"/>
    <w:pPr>
      <w:spacing w:after="120" w:line="300" w:lineRule="atLeast"/>
      <w:jc w:val="both"/>
    </w:pPr>
    <w:rPr>
      <w:rFonts w:eastAsia="Arial Unicode MS"/>
      <w:b/>
      <w:i/>
      <w:color w:val="000000"/>
      <w:sz w:val="28"/>
    </w:rPr>
  </w:style>
  <w:style w:type="paragraph" w:customStyle="1" w:styleId="GlossItemGlossdefPara">
    <w:name w:val="GlossItem Glossdef Para"/>
    <w:basedOn w:val="Normal"/>
    <w:rsid w:val="00FA51BA"/>
    <w:pPr>
      <w:spacing w:after="120" w:line="300" w:lineRule="atLeast"/>
      <w:jc w:val="both"/>
    </w:pPr>
    <w:rPr>
      <w:rFonts w:eastAsia="Arial Unicode MS"/>
      <w:color w:val="000000"/>
    </w:rPr>
  </w:style>
  <w:style w:type="paragraph" w:customStyle="1" w:styleId="GlossItemGlossterm">
    <w:name w:val="GlossItem Glossterm"/>
    <w:basedOn w:val="Normal"/>
    <w:rsid w:val="00FA51BA"/>
    <w:pPr>
      <w:spacing w:after="120" w:line="300" w:lineRule="atLeast"/>
      <w:jc w:val="both"/>
    </w:pPr>
    <w:rPr>
      <w:rFonts w:eastAsia="Arial Unicode MS"/>
      <w:b/>
      <w:color w:val="000000"/>
      <w:sz w:val="48"/>
    </w:rPr>
  </w:style>
  <w:style w:type="paragraph" w:customStyle="1" w:styleId="HeadingAddressLine">
    <w:name w:val="Heading Address Line"/>
    <w:basedOn w:val="Normal"/>
    <w:rsid w:val="00FA51BA"/>
    <w:pPr>
      <w:spacing w:after="120" w:line="300" w:lineRule="atLeast"/>
      <w:jc w:val="both"/>
    </w:pPr>
    <w:rPr>
      <w:rFonts w:eastAsia="Arial Unicode MS"/>
      <w:color w:val="000000"/>
    </w:rPr>
  </w:style>
  <w:style w:type="paragraph" w:customStyle="1" w:styleId="HeadingDate">
    <w:name w:val="Heading Date"/>
    <w:basedOn w:val="Normal"/>
    <w:rsid w:val="00FA51BA"/>
    <w:pPr>
      <w:spacing w:after="120" w:line="300" w:lineRule="atLeast"/>
      <w:jc w:val="both"/>
    </w:pPr>
    <w:rPr>
      <w:rFonts w:eastAsia="Arial Unicode MS"/>
      <w:color w:val="000000"/>
    </w:rPr>
  </w:style>
  <w:style w:type="paragraph" w:customStyle="1" w:styleId="HeadingLetterheadBasedOnAttribute">
    <w:name w:val="Heading Letterhead Based On Attribute"/>
    <w:basedOn w:val="Normal"/>
    <w:rsid w:val="00FA51BA"/>
    <w:pPr>
      <w:spacing w:after="120" w:line="300" w:lineRule="atLeast"/>
      <w:jc w:val="both"/>
    </w:pPr>
    <w:rPr>
      <w:rFonts w:eastAsia="Arial Unicode MS"/>
      <w:color w:val="000000"/>
    </w:rPr>
  </w:style>
  <w:style w:type="paragraph" w:customStyle="1" w:styleId="HeadingSalutation">
    <w:name w:val="Heading Salutation"/>
    <w:basedOn w:val="Normal"/>
    <w:rsid w:val="00FA51BA"/>
    <w:pPr>
      <w:spacing w:after="120" w:line="300" w:lineRule="atLeast"/>
      <w:jc w:val="both"/>
    </w:pPr>
    <w:rPr>
      <w:rFonts w:eastAsia="Arial Unicode MS"/>
      <w:color w:val="000000"/>
    </w:rPr>
  </w:style>
  <w:style w:type="paragraph" w:customStyle="1" w:styleId="IgnoredSpacing">
    <w:name w:val="Ignored Spacing"/>
    <w:link w:val="IgnoredSpacingChar"/>
    <w:rsid w:val="00FA51BA"/>
    <w:pPr>
      <w:spacing w:after="120" w:line="240" w:lineRule="auto"/>
    </w:pPr>
    <w:rPr>
      <w:rFonts w:ascii="Arial" w:eastAsia="Arial Unicode MS" w:hAnsi="Arial" w:cs="Arial"/>
      <w:color w:val="000000"/>
      <w:sz w:val="24"/>
      <w:szCs w:val="24"/>
      <w:lang w:val="en-US" w:eastAsia="en-US"/>
    </w:rPr>
  </w:style>
  <w:style w:type="character" w:customStyle="1" w:styleId="IgnoredSpacingChar">
    <w:name w:val="Ignored Spacing Char"/>
    <w:link w:val="IgnoredSpacing"/>
    <w:rsid w:val="00FA51BA"/>
    <w:rPr>
      <w:rFonts w:ascii="Arial" w:eastAsia="Arial Unicode MS" w:hAnsi="Arial" w:cs="Arial"/>
      <w:color w:val="000000"/>
      <w:sz w:val="24"/>
      <w:szCs w:val="24"/>
      <w:lang w:val="en-US" w:eastAsia="en-US"/>
    </w:rPr>
  </w:style>
  <w:style w:type="paragraph" w:customStyle="1" w:styleId="InternalAuthor">
    <w:name w:val="Internal Author"/>
    <w:link w:val="InternalAuthorChar"/>
    <w:rsid w:val="00FA51BA"/>
    <w:pPr>
      <w:spacing w:after="120" w:line="240" w:lineRule="auto"/>
    </w:pPr>
    <w:rPr>
      <w:rFonts w:ascii="Arial" w:eastAsia="Arial Unicode MS" w:hAnsi="Arial" w:cs="Arial"/>
      <w:color w:val="000000"/>
      <w:sz w:val="24"/>
      <w:lang w:val="en-US" w:eastAsia="en-US"/>
    </w:rPr>
  </w:style>
  <w:style w:type="character" w:customStyle="1" w:styleId="InternalAuthorChar">
    <w:name w:val="Internal Author Char"/>
    <w:link w:val="InternalAuthor"/>
    <w:rsid w:val="00FA51BA"/>
    <w:rPr>
      <w:rFonts w:ascii="Arial" w:eastAsia="Arial Unicode MS" w:hAnsi="Arial" w:cs="Arial"/>
      <w:color w:val="000000"/>
      <w:sz w:val="24"/>
      <w:lang w:val="en-US" w:eastAsia="en-US"/>
    </w:rPr>
  </w:style>
  <w:style w:type="paragraph" w:customStyle="1" w:styleId="MaintenanceEditor">
    <w:name w:val="Maintenance Editor"/>
    <w:link w:val="MaintenanceEditorChar"/>
    <w:rsid w:val="00FA51BA"/>
    <w:pPr>
      <w:spacing w:after="120" w:line="240" w:lineRule="auto"/>
    </w:pPr>
    <w:rPr>
      <w:rFonts w:ascii="Arial" w:eastAsia="Arial Unicode MS" w:hAnsi="Arial" w:cs="Arial"/>
      <w:color w:val="000000"/>
      <w:sz w:val="24"/>
      <w:lang w:val="en-US" w:eastAsia="en-US"/>
    </w:rPr>
  </w:style>
  <w:style w:type="character" w:customStyle="1" w:styleId="MaintenanceEditorChar">
    <w:name w:val="Maintenance Editor Char"/>
    <w:link w:val="MaintenanceEditor"/>
    <w:rsid w:val="00FA51BA"/>
    <w:rPr>
      <w:rFonts w:ascii="Arial" w:eastAsia="Arial Unicode MS" w:hAnsi="Arial" w:cs="Arial"/>
      <w:color w:val="000000"/>
      <w:sz w:val="24"/>
      <w:lang w:val="en-US" w:eastAsia="en-US"/>
    </w:rPr>
  </w:style>
  <w:style w:type="paragraph" w:customStyle="1" w:styleId="ParaClause">
    <w:name w:val="Para Clause"/>
    <w:basedOn w:val="Normal"/>
    <w:rsid w:val="00FA51BA"/>
    <w:pPr>
      <w:spacing w:before="120" w:after="120" w:line="300" w:lineRule="atLeast"/>
      <w:ind w:left="720"/>
      <w:jc w:val="both"/>
    </w:pPr>
    <w:rPr>
      <w:rFonts w:eastAsia="Arial Unicode MS"/>
      <w:color w:val="000000"/>
    </w:rPr>
  </w:style>
  <w:style w:type="paragraph" w:customStyle="1" w:styleId="Parasubclause1">
    <w:name w:val="Para subclause 1"/>
    <w:aliases w:val="BIWS Heading 2"/>
    <w:basedOn w:val="Normal"/>
    <w:rsid w:val="00FA51BA"/>
    <w:pPr>
      <w:spacing w:before="240" w:after="120" w:line="300" w:lineRule="atLeast"/>
      <w:ind w:left="720"/>
      <w:jc w:val="both"/>
    </w:pPr>
    <w:rPr>
      <w:rFonts w:eastAsia="Arial Unicode MS"/>
      <w:color w:val="000000"/>
    </w:rPr>
  </w:style>
  <w:style w:type="paragraph" w:customStyle="1" w:styleId="Untitledsubclause1">
    <w:name w:val="Untitled subclause 1"/>
    <w:basedOn w:val="Normal"/>
    <w:rsid w:val="00FA51BA"/>
    <w:pPr>
      <w:numPr>
        <w:ilvl w:val="1"/>
        <w:numId w:val="16"/>
      </w:numPr>
      <w:spacing w:before="280" w:after="120" w:line="300" w:lineRule="atLeast"/>
      <w:jc w:val="both"/>
      <w:outlineLvl w:val="1"/>
    </w:pPr>
    <w:rPr>
      <w:rFonts w:eastAsia="Arial Unicode MS"/>
      <w:color w:val="000000"/>
    </w:rPr>
  </w:style>
  <w:style w:type="paragraph" w:customStyle="1" w:styleId="Parasubclause2">
    <w:name w:val="Para subclause 2"/>
    <w:aliases w:val="BIWS Heading 3"/>
    <w:basedOn w:val="Normal"/>
    <w:rsid w:val="00FA51BA"/>
    <w:pPr>
      <w:spacing w:after="240" w:line="300" w:lineRule="atLeast"/>
      <w:ind w:left="1559"/>
      <w:jc w:val="both"/>
    </w:pPr>
    <w:rPr>
      <w:rFonts w:eastAsia="Arial Unicode MS"/>
      <w:color w:val="000000"/>
    </w:rPr>
  </w:style>
  <w:style w:type="paragraph" w:customStyle="1" w:styleId="Untitledsubclause2">
    <w:name w:val="Untitled subclause 2"/>
    <w:basedOn w:val="Normal"/>
    <w:rsid w:val="00FA51BA"/>
    <w:pPr>
      <w:numPr>
        <w:ilvl w:val="2"/>
        <w:numId w:val="16"/>
      </w:numPr>
      <w:spacing w:after="120" w:line="300" w:lineRule="atLeast"/>
      <w:jc w:val="both"/>
      <w:outlineLvl w:val="2"/>
    </w:pPr>
    <w:rPr>
      <w:rFonts w:eastAsia="Arial Unicode MS"/>
      <w:color w:val="000000"/>
    </w:rPr>
  </w:style>
  <w:style w:type="paragraph" w:customStyle="1" w:styleId="Parasubclause3">
    <w:name w:val="Para subclause 3"/>
    <w:aliases w:val="BIWS Heading 4"/>
    <w:basedOn w:val="Normal"/>
    <w:next w:val="Untitledsubclause2"/>
    <w:rsid w:val="00FA51BA"/>
    <w:pPr>
      <w:spacing w:after="120" w:line="300" w:lineRule="atLeast"/>
      <w:ind w:left="2268"/>
      <w:jc w:val="both"/>
    </w:pPr>
    <w:rPr>
      <w:rFonts w:eastAsia="Arial Unicode MS"/>
      <w:color w:val="000000"/>
    </w:rPr>
  </w:style>
  <w:style w:type="paragraph" w:customStyle="1" w:styleId="Untitledsubclause3">
    <w:name w:val="Untitled subclause 3"/>
    <w:basedOn w:val="Normal"/>
    <w:rsid w:val="00FA51BA"/>
    <w:pPr>
      <w:numPr>
        <w:ilvl w:val="3"/>
        <w:numId w:val="16"/>
      </w:numPr>
      <w:tabs>
        <w:tab w:val="left" w:pos="2261"/>
      </w:tabs>
      <w:spacing w:after="120" w:line="300" w:lineRule="atLeast"/>
      <w:jc w:val="both"/>
      <w:outlineLvl w:val="3"/>
    </w:pPr>
    <w:rPr>
      <w:rFonts w:eastAsia="Arial Unicode MS"/>
      <w:color w:val="000000"/>
    </w:rPr>
  </w:style>
  <w:style w:type="paragraph" w:customStyle="1" w:styleId="Parasubclause4">
    <w:name w:val="Para subclause 4"/>
    <w:aliases w:val="BIWS Heading 5"/>
    <w:basedOn w:val="Parasubclause3"/>
    <w:rsid w:val="00FA51BA"/>
    <w:pPr>
      <w:spacing w:after="240"/>
      <w:ind w:left="3028"/>
    </w:pPr>
  </w:style>
  <w:style w:type="paragraph" w:customStyle="1" w:styleId="Untitledsubclause4">
    <w:name w:val="Untitled subclause 4"/>
    <w:basedOn w:val="Normal"/>
    <w:rsid w:val="00FA51BA"/>
    <w:pPr>
      <w:numPr>
        <w:ilvl w:val="4"/>
        <w:numId w:val="16"/>
      </w:numPr>
      <w:spacing w:after="120" w:line="300" w:lineRule="atLeast"/>
      <w:jc w:val="both"/>
      <w:outlineLvl w:val="4"/>
    </w:pPr>
    <w:rPr>
      <w:rFonts w:eastAsia="Arial Unicode MS"/>
      <w:color w:val="000000"/>
    </w:rPr>
  </w:style>
  <w:style w:type="paragraph" w:customStyle="1" w:styleId="Para">
    <w:name w:val="Para"/>
    <w:aliases w:val="PLC Style - Normal"/>
    <w:basedOn w:val="Normal"/>
    <w:rsid w:val="00FA51BA"/>
    <w:pPr>
      <w:spacing w:after="120" w:line="300" w:lineRule="atLeast"/>
      <w:jc w:val="both"/>
    </w:pPr>
    <w:rPr>
      <w:rFonts w:eastAsia="Arial Unicode MS"/>
      <w:color w:val="000000"/>
    </w:rPr>
  </w:style>
  <w:style w:type="paragraph" w:customStyle="1" w:styleId="Parties">
    <w:name w:val="Parties"/>
    <w:aliases w:val="(1) Parties"/>
    <w:uiPriority w:val="1"/>
    <w:rsid w:val="00135F40"/>
    <w:pPr>
      <w:numPr>
        <w:numId w:val="23"/>
      </w:numPr>
      <w:spacing w:after="240" w:line="240" w:lineRule="auto"/>
      <w:jc w:val="both"/>
    </w:pPr>
    <w:rPr>
      <w:rFonts w:ascii="Arial" w:eastAsia="Times New Roman" w:hAnsi="Arial" w:cs="Times New Roman"/>
      <w:color w:val="000000" w:themeColor="text1"/>
      <w:sz w:val="20"/>
      <w:szCs w:val="20"/>
    </w:rPr>
  </w:style>
  <w:style w:type="paragraph" w:customStyle="1" w:styleId="ResourceHistoryAuthor">
    <w:name w:val="Resource History Author"/>
    <w:link w:val="ResourceHistoryAuthorChar"/>
    <w:rsid w:val="00FA51BA"/>
    <w:pPr>
      <w:spacing w:after="120" w:line="240" w:lineRule="auto"/>
    </w:pPr>
    <w:rPr>
      <w:rFonts w:ascii="Arial" w:eastAsia="Arial Unicode MS" w:hAnsi="Arial" w:cs="Arial"/>
      <w:color w:val="000000"/>
      <w:sz w:val="24"/>
      <w:szCs w:val="24"/>
      <w:lang w:val="en-US" w:eastAsia="en-US"/>
    </w:rPr>
  </w:style>
  <w:style w:type="character" w:customStyle="1" w:styleId="ResourceHistoryAuthorChar">
    <w:name w:val="Resource History Author Char"/>
    <w:link w:val="ResourceHistoryAuthor"/>
    <w:rsid w:val="00FA51BA"/>
    <w:rPr>
      <w:rFonts w:ascii="Arial" w:eastAsia="Arial Unicode MS" w:hAnsi="Arial" w:cs="Arial"/>
      <w:color w:val="000000"/>
      <w:sz w:val="24"/>
      <w:szCs w:val="24"/>
      <w:lang w:val="en-US" w:eastAsia="en-US"/>
    </w:rPr>
  </w:style>
  <w:style w:type="paragraph" w:customStyle="1" w:styleId="ResourceHistoryDate">
    <w:name w:val="Resource History Date"/>
    <w:link w:val="ResourceHistoryDateChar"/>
    <w:rsid w:val="00FA51BA"/>
    <w:pPr>
      <w:spacing w:after="120" w:line="240" w:lineRule="auto"/>
    </w:pPr>
    <w:rPr>
      <w:rFonts w:ascii="Arial" w:eastAsia="Arial Unicode MS" w:hAnsi="Arial" w:cs="Arial"/>
      <w:color w:val="000000"/>
      <w:sz w:val="24"/>
      <w:szCs w:val="24"/>
      <w:lang w:val="en-US" w:eastAsia="en-US"/>
    </w:rPr>
  </w:style>
  <w:style w:type="character" w:customStyle="1" w:styleId="ResourceHistoryDateChar">
    <w:name w:val="Resource History Date Char"/>
    <w:link w:val="ResourceHistoryDate"/>
    <w:rsid w:val="00FA51BA"/>
    <w:rPr>
      <w:rFonts w:ascii="Arial" w:eastAsia="Arial Unicode MS" w:hAnsi="Arial" w:cs="Arial"/>
      <w:color w:val="000000"/>
      <w:sz w:val="24"/>
      <w:szCs w:val="24"/>
      <w:lang w:val="en-US" w:eastAsia="en-US"/>
    </w:rPr>
  </w:style>
  <w:style w:type="paragraph" w:customStyle="1" w:styleId="ResourceHistoryDesc">
    <w:name w:val="Resource History Desc"/>
    <w:link w:val="ResourceHistoryDescChar"/>
    <w:rsid w:val="00FA51BA"/>
    <w:pPr>
      <w:spacing w:after="120" w:line="240" w:lineRule="auto"/>
    </w:pPr>
    <w:rPr>
      <w:rFonts w:ascii="Verdana" w:eastAsia="Times New Roman" w:hAnsi="Verdana" w:cs="Verdana"/>
      <w:color w:val="000000"/>
      <w:sz w:val="18"/>
      <w:szCs w:val="24"/>
      <w:lang w:val="en-US" w:eastAsia="en-US"/>
    </w:rPr>
  </w:style>
  <w:style w:type="character" w:customStyle="1" w:styleId="ResourceHistoryDescChar">
    <w:name w:val="Resource History Desc Char"/>
    <w:link w:val="ResourceHistoryDesc"/>
    <w:rsid w:val="00FA51BA"/>
    <w:rPr>
      <w:rFonts w:ascii="Verdana" w:eastAsia="Times New Roman" w:hAnsi="Verdana" w:cs="Verdana"/>
      <w:color w:val="000000"/>
      <w:sz w:val="18"/>
      <w:szCs w:val="24"/>
      <w:lang w:val="en-US" w:eastAsia="en-US"/>
    </w:rPr>
  </w:style>
  <w:style w:type="paragraph" w:customStyle="1" w:styleId="ResourceHistoryTitle">
    <w:name w:val="Resource History Title"/>
    <w:link w:val="ResourceHistoryTitleChar"/>
    <w:rsid w:val="00FA51BA"/>
    <w:pPr>
      <w:spacing w:after="120" w:line="240" w:lineRule="auto"/>
    </w:pPr>
    <w:rPr>
      <w:rFonts w:ascii="Arial" w:eastAsia="Arial Unicode MS" w:hAnsi="Arial" w:cs="Arial"/>
      <w:b/>
      <w:bCs/>
      <w:color w:val="000000"/>
      <w:sz w:val="24"/>
      <w:lang w:val="en-US" w:eastAsia="en-US"/>
    </w:rPr>
  </w:style>
  <w:style w:type="character" w:customStyle="1" w:styleId="ResourceHistoryTitleChar">
    <w:name w:val="Resource History Title Char"/>
    <w:link w:val="ResourceHistoryTitle"/>
    <w:rsid w:val="00FA51BA"/>
    <w:rPr>
      <w:rFonts w:ascii="Arial" w:eastAsia="Arial Unicode MS" w:hAnsi="Arial" w:cs="Arial"/>
      <w:b/>
      <w:bCs/>
      <w:color w:val="000000"/>
      <w:sz w:val="24"/>
      <w:lang w:val="en-US" w:eastAsia="en-US"/>
    </w:rPr>
  </w:style>
  <w:style w:type="paragraph" w:customStyle="1" w:styleId="ResourceType">
    <w:name w:val="Resource Type"/>
    <w:link w:val="ResourceTypeChar"/>
    <w:rsid w:val="00FA51BA"/>
    <w:pPr>
      <w:spacing w:after="120" w:line="240" w:lineRule="auto"/>
    </w:pPr>
    <w:rPr>
      <w:rFonts w:ascii="Arial" w:eastAsia="Arial Unicode MS" w:hAnsi="Arial" w:cs="Arial"/>
      <w:color w:val="000000"/>
      <w:sz w:val="24"/>
      <w:szCs w:val="24"/>
      <w:lang w:val="en-US" w:eastAsia="en-US"/>
    </w:rPr>
  </w:style>
  <w:style w:type="character" w:customStyle="1" w:styleId="ResourceTypeChar">
    <w:name w:val="Resource Type Char"/>
    <w:link w:val="ResourceType"/>
    <w:rsid w:val="00FA51BA"/>
    <w:rPr>
      <w:rFonts w:ascii="Arial" w:eastAsia="Arial Unicode MS" w:hAnsi="Arial" w:cs="Arial"/>
      <w:color w:val="000000"/>
      <w:sz w:val="24"/>
      <w:szCs w:val="24"/>
      <w:lang w:val="en-US" w:eastAsia="en-US"/>
    </w:rPr>
  </w:style>
  <w:style w:type="paragraph" w:customStyle="1" w:styleId="ScheduleHeading-Single">
    <w:name w:val="Schedule Heading - Single"/>
    <w:aliases w:val="Sch   main head inc single"/>
    <w:basedOn w:val="Normal"/>
    <w:next w:val="Normal"/>
    <w:rsid w:val="00FA51BA"/>
    <w:pPr>
      <w:numPr>
        <w:numId w:val="1"/>
      </w:numPr>
      <w:spacing w:before="240" w:after="360" w:line="300" w:lineRule="atLeast"/>
      <w:jc w:val="both"/>
    </w:pPr>
    <w:rPr>
      <w:rFonts w:eastAsia="Arial Unicode MS"/>
      <w:b/>
      <w:color w:val="000000"/>
      <w:kern w:val="28"/>
    </w:rPr>
  </w:style>
  <w:style w:type="paragraph" w:customStyle="1" w:styleId="ScheduleHeading">
    <w:name w:val="Schedule Heading"/>
    <w:aliases w:val="Sch   main head"/>
    <w:next w:val="Body"/>
    <w:uiPriority w:val="1"/>
    <w:rsid w:val="00135F40"/>
    <w:pPr>
      <w:keepNext/>
      <w:pageBreakBefore/>
      <w:numPr>
        <w:numId w:val="22"/>
      </w:numPr>
      <w:spacing w:after="240" w:line="240" w:lineRule="auto"/>
      <w:jc w:val="center"/>
      <w:outlineLvl w:val="0"/>
    </w:pPr>
    <w:rPr>
      <w:rFonts w:ascii="Arial" w:eastAsia="Times New Roman" w:hAnsi="Arial" w:cs="Times New Roman"/>
      <w:b/>
      <w:color w:val="000000" w:themeColor="text1"/>
      <w:sz w:val="20"/>
      <w:szCs w:val="20"/>
    </w:rPr>
  </w:style>
  <w:style w:type="paragraph" w:customStyle="1" w:styleId="SectionHeading">
    <w:name w:val="Section Heading"/>
    <w:aliases w:val="1stIntroHeadings"/>
    <w:basedOn w:val="Normal"/>
    <w:next w:val="Normal"/>
    <w:rsid w:val="00FA51BA"/>
    <w:pPr>
      <w:tabs>
        <w:tab w:val="left" w:pos="709"/>
      </w:tabs>
      <w:spacing w:before="120" w:after="120" w:line="300" w:lineRule="atLeast"/>
      <w:jc w:val="both"/>
    </w:pPr>
    <w:rPr>
      <w:rFonts w:eastAsia="Arial Unicode MS"/>
      <w:b/>
      <w:smallCaps/>
      <w:color w:val="000000"/>
      <w:sz w:val="24"/>
    </w:rPr>
  </w:style>
  <w:style w:type="paragraph" w:customStyle="1" w:styleId="Shortquestion">
    <w:name w:val="Shortquestion"/>
    <w:basedOn w:val="Normal"/>
    <w:rsid w:val="00FA51BA"/>
    <w:pPr>
      <w:spacing w:after="120" w:line="300" w:lineRule="atLeast"/>
      <w:jc w:val="both"/>
    </w:pPr>
    <w:rPr>
      <w:rFonts w:eastAsia="Arial Unicode MS"/>
      <w:color w:val="000000"/>
    </w:rPr>
  </w:style>
  <w:style w:type="paragraph" w:customStyle="1" w:styleId="SpeedreadPara">
    <w:name w:val="Speedread Para"/>
    <w:basedOn w:val="Normal"/>
    <w:rsid w:val="00FA51BA"/>
    <w:pPr>
      <w:spacing w:after="120" w:line="300" w:lineRule="atLeast"/>
      <w:jc w:val="both"/>
    </w:pPr>
    <w:rPr>
      <w:rFonts w:eastAsia="Arial Unicode MS"/>
      <w:color w:val="000000"/>
    </w:rPr>
  </w:style>
  <w:style w:type="paragraph" w:customStyle="1" w:styleId="SpeedreadSection1Para">
    <w:name w:val="Speedread Section1 Para"/>
    <w:basedOn w:val="Normal"/>
    <w:rsid w:val="00FA51BA"/>
    <w:pPr>
      <w:spacing w:after="120" w:line="300" w:lineRule="atLeast"/>
      <w:jc w:val="both"/>
    </w:pPr>
    <w:rPr>
      <w:rFonts w:eastAsia="Arial Unicode MS"/>
      <w:color w:val="000000"/>
    </w:rPr>
  </w:style>
  <w:style w:type="paragraph" w:customStyle="1" w:styleId="SpeedreadSection1Text">
    <w:name w:val="Speedread Section1 Text"/>
    <w:basedOn w:val="Normal"/>
    <w:rsid w:val="00FA51BA"/>
    <w:pPr>
      <w:spacing w:after="120" w:line="300" w:lineRule="atLeast"/>
      <w:jc w:val="both"/>
    </w:pPr>
    <w:rPr>
      <w:rFonts w:eastAsia="Arial Unicode MS"/>
      <w:color w:val="000000"/>
    </w:rPr>
  </w:style>
  <w:style w:type="paragraph" w:customStyle="1" w:styleId="SpeedreadText">
    <w:name w:val="Speedread Text"/>
    <w:basedOn w:val="Normal"/>
    <w:rsid w:val="00FA51BA"/>
    <w:pPr>
      <w:spacing w:after="120" w:line="300" w:lineRule="atLeast"/>
      <w:jc w:val="both"/>
    </w:pPr>
    <w:rPr>
      <w:rFonts w:eastAsia="Arial Unicode MS"/>
      <w:color w:val="000000"/>
    </w:rPr>
  </w:style>
  <w:style w:type="paragraph" w:customStyle="1" w:styleId="SpeedreadTitle">
    <w:name w:val="Speedread Title"/>
    <w:basedOn w:val="Normal"/>
    <w:rsid w:val="00FA51BA"/>
    <w:pPr>
      <w:spacing w:after="120" w:line="300" w:lineRule="atLeast"/>
      <w:jc w:val="both"/>
    </w:pPr>
    <w:rPr>
      <w:rFonts w:eastAsia="Arial Unicode MS"/>
      <w:b/>
      <w:color w:val="000000"/>
      <w:sz w:val="36"/>
    </w:rPr>
  </w:style>
  <w:style w:type="paragraph" w:customStyle="1" w:styleId="TemplateType">
    <w:name w:val="Template Type"/>
    <w:link w:val="TemplateTypeChar"/>
    <w:rsid w:val="00FA51BA"/>
    <w:pPr>
      <w:spacing w:after="120" w:line="240" w:lineRule="auto"/>
    </w:pPr>
    <w:rPr>
      <w:rFonts w:ascii="Arial" w:eastAsia="Arial Unicode MS" w:hAnsi="Arial" w:cs="Arial"/>
      <w:color w:val="000000"/>
      <w:sz w:val="24"/>
      <w:szCs w:val="24"/>
      <w:lang w:val="en-US" w:eastAsia="en-US"/>
    </w:rPr>
  </w:style>
  <w:style w:type="character" w:customStyle="1" w:styleId="TemplateTypeChar">
    <w:name w:val="Template Type Char"/>
    <w:link w:val="TemplateType"/>
    <w:rsid w:val="00FA51BA"/>
    <w:rPr>
      <w:rFonts w:ascii="Arial" w:eastAsia="Arial Unicode MS" w:hAnsi="Arial" w:cs="Arial"/>
      <w:color w:val="000000"/>
      <w:sz w:val="24"/>
      <w:szCs w:val="24"/>
      <w:lang w:val="en-US" w:eastAsia="en-US"/>
    </w:rPr>
  </w:style>
  <w:style w:type="paragraph" w:styleId="Title">
    <w:name w:val="Title"/>
    <w:link w:val="TitleChar"/>
    <w:rsid w:val="00FA51BA"/>
    <w:pPr>
      <w:spacing w:after="120" w:line="240" w:lineRule="auto"/>
    </w:pPr>
    <w:rPr>
      <w:rFonts w:ascii="Arial" w:eastAsia="Arial Unicode MS" w:hAnsi="Arial" w:cs="Arial"/>
      <w:color w:val="000000"/>
      <w:sz w:val="24"/>
      <w:lang w:val="en-US" w:eastAsia="en-US"/>
    </w:rPr>
  </w:style>
  <w:style w:type="character" w:customStyle="1" w:styleId="TitleChar">
    <w:name w:val="Title Char"/>
    <w:link w:val="Title"/>
    <w:rsid w:val="00FA51BA"/>
    <w:rPr>
      <w:rFonts w:ascii="Arial" w:eastAsia="Arial Unicode MS" w:hAnsi="Arial" w:cs="Arial"/>
      <w:color w:val="000000"/>
      <w:sz w:val="24"/>
      <w:lang w:val="en-US" w:eastAsia="en-US"/>
    </w:rPr>
  </w:style>
  <w:style w:type="paragraph" w:styleId="Footer">
    <w:name w:val="footer"/>
    <w:link w:val="FooterChar"/>
    <w:uiPriority w:val="1"/>
    <w:rsid w:val="00135F40"/>
    <w:pPr>
      <w:tabs>
        <w:tab w:val="center" w:pos="4678"/>
        <w:tab w:val="right" w:pos="9356"/>
      </w:tabs>
      <w:spacing w:after="0" w:line="240" w:lineRule="auto"/>
    </w:pPr>
    <w:rPr>
      <w:rFonts w:ascii="Arial" w:eastAsia="Times New Roman" w:hAnsi="Arial" w:cs="Times New Roman"/>
      <w:color w:val="000000" w:themeColor="text1"/>
      <w:sz w:val="16"/>
      <w:szCs w:val="20"/>
    </w:rPr>
  </w:style>
  <w:style w:type="character" w:customStyle="1" w:styleId="FooterChar">
    <w:name w:val="Footer Char"/>
    <w:basedOn w:val="DefaultParagraphFont"/>
    <w:link w:val="Footer"/>
    <w:uiPriority w:val="1"/>
    <w:rsid w:val="00135F40"/>
    <w:rPr>
      <w:rFonts w:ascii="Arial" w:eastAsia="Times New Roman" w:hAnsi="Arial" w:cs="Times New Roman"/>
      <w:color w:val="000000" w:themeColor="text1"/>
      <w:sz w:val="16"/>
      <w:szCs w:val="20"/>
    </w:rPr>
  </w:style>
  <w:style w:type="character" w:styleId="Hyperlink">
    <w:name w:val="Hyperlink"/>
    <w:basedOn w:val="DefaultParagraphFont"/>
    <w:uiPriority w:val="99"/>
    <w:rsid w:val="00135F40"/>
    <w:rPr>
      <w:color w:val="0000FF" w:themeColor="hyperlink"/>
      <w:u w:val="single"/>
    </w:rPr>
  </w:style>
  <w:style w:type="paragraph" w:customStyle="1" w:styleId="Bullet40">
    <w:name w:val="Bullet4"/>
    <w:basedOn w:val="Normal"/>
    <w:rsid w:val="00FA51BA"/>
    <w:pPr>
      <w:numPr>
        <w:numId w:val="2"/>
      </w:numPr>
      <w:spacing w:after="240"/>
      <w:jc w:val="both"/>
    </w:pPr>
    <w:rPr>
      <w:rFonts w:ascii="Times New Roman" w:eastAsia="Times New Roman" w:hAnsi="Times New Roman" w:cs="Times New Roman"/>
      <w:color w:val="000000"/>
    </w:rPr>
  </w:style>
  <w:style w:type="paragraph" w:customStyle="1" w:styleId="Paragraph">
    <w:name w:val="Paragraph"/>
    <w:basedOn w:val="Normal"/>
    <w:link w:val="ParagraphChar"/>
    <w:qFormat/>
    <w:rsid w:val="00FA51BA"/>
    <w:pPr>
      <w:spacing w:after="120" w:line="300" w:lineRule="atLeast"/>
      <w:jc w:val="both"/>
    </w:pPr>
    <w:rPr>
      <w:rFonts w:eastAsia="Arial Unicode MS"/>
      <w:color w:val="000000"/>
    </w:rPr>
  </w:style>
  <w:style w:type="paragraph" w:customStyle="1" w:styleId="IgnoredTemplateText">
    <w:name w:val="Ignored Template Text"/>
    <w:link w:val="IgnoredTemplateTextChar"/>
    <w:rsid w:val="00FA51BA"/>
    <w:pPr>
      <w:pBdr>
        <w:top w:val="single" w:sz="4" w:space="1" w:color="auto"/>
        <w:left w:val="single" w:sz="4" w:space="4" w:color="auto"/>
        <w:bottom w:val="single" w:sz="4" w:space="1" w:color="auto"/>
        <w:right w:val="single" w:sz="4" w:space="4" w:color="auto"/>
      </w:pBdr>
      <w:shd w:val="pct15" w:color="auto" w:fill="FBD4B4" w:themeFill="accent6" w:themeFillTint="66"/>
      <w:spacing w:after="120" w:line="240" w:lineRule="auto"/>
    </w:pPr>
    <w:rPr>
      <w:rFonts w:ascii="Arial" w:eastAsia="Arial Unicode MS" w:hAnsi="Arial" w:cs="Arial"/>
      <w:b/>
      <w:i/>
      <w:color w:val="000000"/>
      <w:szCs w:val="18"/>
      <w:lang w:val="en-US" w:eastAsia="en-US"/>
    </w:rPr>
  </w:style>
  <w:style w:type="character" w:customStyle="1" w:styleId="IgnoredTemplateTextChar">
    <w:name w:val="Ignored Template Text Char"/>
    <w:link w:val="IgnoredTemplateText"/>
    <w:rsid w:val="00FA51BA"/>
    <w:rPr>
      <w:rFonts w:ascii="Arial" w:eastAsia="Arial Unicode MS" w:hAnsi="Arial" w:cs="Arial"/>
      <w:b/>
      <w:i/>
      <w:color w:val="000000"/>
      <w:szCs w:val="18"/>
      <w:shd w:val="pct15" w:color="auto" w:fill="FBD4B4" w:themeFill="accent6" w:themeFillTint="66"/>
      <w:lang w:val="en-US" w:eastAsia="en-US"/>
    </w:rPr>
  </w:style>
  <w:style w:type="paragraph" w:customStyle="1" w:styleId="InternalTOC">
    <w:name w:val="Internal TOC"/>
    <w:rsid w:val="00FA51BA"/>
    <w:pPr>
      <w:spacing w:after="120" w:line="240" w:lineRule="auto"/>
    </w:pPr>
    <w:rPr>
      <w:rFonts w:ascii="Arial" w:eastAsia="Arial Unicode MS" w:hAnsi="Arial" w:cs="Arial"/>
      <w:color w:val="000000"/>
      <w:lang w:val="en-US" w:eastAsia="en-US"/>
    </w:rPr>
  </w:style>
  <w:style w:type="paragraph" w:customStyle="1" w:styleId="HeadingLevel1">
    <w:name w:val="Heading Level 1"/>
    <w:basedOn w:val="Normal"/>
    <w:next w:val="Paragraph"/>
    <w:rsid w:val="00FA51BA"/>
    <w:pPr>
      <w:keepNext/>
      <w:spacing w:after="120" w:line="300" w:lineRule="atLeast"/>
      <w:jc w:val="both"/>
      <w:outlineLvl w:val="1"/>
    </w:pPr>
    <w:rPr>
      <w:rFonts w:eastAsia="Arial Unicode MS"/>
      <w:b/>
      <w:color w:val="000000"/>
      <w:sz w:val="36"/>
    </w:rPr>
  </w:style>
  <w:style w:type="paragraph" w:customStyle="1" w:styleId="HeadingLevel2">
    <w:name w:val="Heading Level 2"/>
    <w:basedOn w:val="Normal"/>
    <w:next w:val="Paragraph"/>
    <w:rsid w:val="00FA51BA"/>
    <w:pPr>
      <w:keepNext/>
      <w:spacing w:after="120" w:line="300" w:lineRule="atLeast"/>
      <w:jc w:val="both"/>
      <w:outlineLvl w:val="2"/>
    </w:pPr>
    <w:rPr>
      <w:rFonts w:eastAsia="Arial Unicode MS"/>
      <w:b/>
      <w:color w:val="000000"/>
      <w:sz w:val="28"/>
    </w:rPr>
  </w:style>
  <w:style w:type="paragraph" w:customStyle="1" w:styleId="HeadingLevel3">
    <w:name w:val="Heading Level 3"/>
    <w:basedOn w:val="Normal"/>
    <w:next w:val="Paragraph"/>
    <w:rsid w:val="00FA51BA"/>
    <w:pPr>
      <w:keepNext/>
      <w:spacing w:after="120" w:line="300" w:lineRule="atLeast"/>
      <w:jc w:val="both"/>
      <w:outlineLvl w:val="3"/>
    </w:pPr>
    <w:rPr>
      <w:rFonts w:eastAsia="Arial Unicode MS"/>
      <w:b/>
      <w:i/>
      <w:color w:val="000000"/>
      <w:sz w:val="28"/>
    </w:rPr>
  </w:style>
  <w:style w:type="paragraph" w:styleId="Header">
    <w:name w:val="header"/>
    <w:link w:val="HeaderChar"/>
    <w:uiPriority w:val="1"/>
    <w:rsid w:val="00135F40"/>
    <w:pPr>
      <w:spacing w:after="0" w:line="240" w:lineRule="auto"/>
    </w:pPr>
    <w:rPr>
      <w:rFonts w:ascii="Arial" w:eastAsia="Times New Roman" w:hAnsi="Arial" w:cs="Times New Roman"/>
      <w:color w:val="000000" w:themeColor="text1"/>
      <w:sz w:val="20"/>
      <w:szCs w:val="20"/>
    </w:rPr>
  </w:style>
  <w:style w:type="character" w:customStyle="1" w:styleId="HeaderChar">
    <w:name w:val="Header Char"/>
    <w:basedOn w:val="DefaultParagraphFont"/>
    <w:link w:val="Header"/>
    <w:uiPriority w:val="1"/>
    <w:rsid w:val="00135F40"/>
    <w:rPr>
      <w:rFonts w:ascii="Arial" w:eastAsia="Times New Roman" w:hAnsi="Arial" w:cs="Times New Roman"/>
      <w:color w:val="000000" w:themeColor="text1"/>
      <w:sz w:val="20"/>
      <w:szCs w:val="20"/>
    </w:rPr>
  </w:style>
  <w:style w:type="character" w:styleId="PlaceholderText">
    <w:name w:val="Placeholder Text"/>
    <w:basedOn w:val="DefaultParagraphFont"/>
    <w:uiPriority w:val="99"/>
    <w:rsid w:val="00FA51BA"/>
    <w:rPr>
      <w:color w:val="000000"/>
    </w:rPr>
  </w:style>
  <w:style w:type="paragraph" w:styleId="BalloonText">
    <w:name w:val="Balloon Text"/>
    <w:basedOn w:val="Normal"/>
    <w:link w:val="BalloonTextChar"/>
    <w:uiPriority w:val="99"/>
    <w:semiHidden/>
    <w:unhideWhenUsed/>
    <w:rsid w:val="00135F40"/>
    <w:pPr>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F40"/>
    <w:rPr>
      <w:rFonts w:ascii="Tahoma" w:eastAsiaTheme="minorHAnsi" w:hAnsi="Tahoma" w:cs="Tahoma"/>
      <w:sz w:val="16"/>
      <w:szCs w:val="16"/>
      <w:lang w:eastAsia="en-US"/>
    </w:rPr>
  </w:style>
  <w:style w:type="paragraph" w:customStyle="1" w:styleId="PinPointRef">
    <w:name w:val="PinPoint Ref"/>
    <w:link w:val="PinPointRefChar"/>
    <w:qFormat/>
    <w:rsid w:val="00FA51BA"/>
    <w:pPr>
      <w:spacing w:after="0" w:line="240" w:lineRule="auto"/>
    </w:pPr>
    <w:rPr>
      <w:rFonts w:ascii="Times New Roman" w:eastAsia="Times New Roman" w:hAnsi="Times New Roman" w:cs="Times New Roman"/>
      <w:b/>
      <w:vanish/>
      <w:color w:val="000000"/>
      <w:sz w:val="18"/>
      <w:szCs w:val="20"/>
      <w:lang w:eastAsia="en-US"/>
    </w:rPr>
  </w:style>
  <w:style w:type="character" w:customStyle="1" w:styleId="PinPointRefChar">
    <w:name w:val="PinPoint Ref Char"/>
    <w:basedOn w:val="DefaultParagraphFont"/>
    <w:link w:val="PinPointRef"/>
    <w:rsid w:val="00FA51BA"/>
    <w:rPr>
      <w:rFonts w:ascii="Times New Roman" w:eastAsia="Times New Roman" w:hAnsi="Times New Roman" w:cs="Times New Roman"/>
      <w:b/>
      <w:vanish/>
      <w:color w:val="000000"/>
      <w:sz w:val="18"/>
      <w:szCs w:val="20"/>
      <w:lang w:eastAsia="en-US"/>
    </w:rPr>
  </w:style>
  <w:style w:type="paragraph" w:customStyle="1" w:styleId="BlockQuote">
    <w:name w:val="Block Quote"/>
    <w:link w:val="BlockQuoteChar"/>
    <w:qFormat/>
    <w:rsid w:val="00FA51BA"/>
    <w:pPr>
      <w:spacing w:before="120" w:after="0" w:line="240" w:lineRule="auto"/>
      <w:ind w:left="720"/>
    </w:pPr>
    <w:rPr>
      <w:rFonts w:ascii="Arial" w:eastAsia="Arial Unicode MS" w:hAnsi="Arial" w:cs="Arial"/>
      <w:color w:val="000000"/>
      <w:sz w:val="18"/>
      <w:szCs w:val="20"/>
      <w:lang w:eastAsia="en-US"/>
    </w:rPr>
  </w:style>
  <w:style w:type="character" w:customStyle="1" w:styleId="BlockQuoteChar">
    <w:name w:val="Block Quote Char"/>
    <w:basedOn w:val="DefaultParagraphFont"/>
    <w:link w:val="BlockQuote"/>
    <w:rsid w:val="00FA51BA"/>
    <w:rPr>
      <w:rFonts w:ascii="Arial" w:eastAsia="Arial Unicode MS" w:hAnsi="Arial" w:cs="Arial"/>
      <w:color w:val="000000"/>
      <w:sz w:val="18"/>
      <w:szCs w:val="20"/>
      <w:lang w:eastAsia="en-US"/>
    </w:rPr>
  </w:style>
  <w:style w:type="paragraph" w:customStyle="1" w:styleId="ListParagraphLevel1">
    <w:name w:val="List Paragraph Level 1"/>
    <w:link w:val="ListParagraphLevel1Char"/>
    <w:rsid w:val="00FA51BA"/>
    <w:pPr>
      <w:spacing w:after="120" w:line="240" w:lineRule="auto"/>
      <w:ind w:left="357"/>
      <w:jc w:val="both"/>
    </w:pPr>
    <w:rPr>
      <w:rFonts w:ascii="Arial" w:eastAsia="Arial Unicode MS" w:hAnsi="Arial" w:cs="Arial"/>
      <w:color w:val="000000"/>
      <w:szCs w:val="24"/>
      <w:lang w:val="en-US" w:eastAsia="en-US"/>
    </w:rPr>
  </w:style>
  <w:style w:type="paragraph" w:customStyle="1" w:styleId="ListParagraphLevel2">
    <w:name w:val="List Paragraph Level 2"/>
    <w:link w:val="ListParagraphLevel2Char"/>
    <w:qFormat/>
    <w:rsid w:val="00FA51BA"/>
    <w:pPr>
      <w:spacing w:after="120" w:line="240" w:lineRule="auto"/>
      <w:ind w:left="1077"/>
      <w:jc w:val="both"/>
    </w:pPr>
    <w:rPr>
      <w:rFonts w:ascii="Arial" w:eastAsia="Arial Unicode MS" w:hAnsi="Arial" w:cs="Arial"/>
      <w:color w:val="000000"/>
      <w:szCs w:val="24"/>
      <w:lang w:val="en-US" w:eastAsia="en-US"/>
    </w:rPr>
  </w:style>
  <w:style w:type="character" w:customStyle="1" w:styleId="ListParagraphLevel1Char">
    <w:name w:val="List Paragraph Level 1 Char"/>
    <w:basedOn w:val="DefaultParagraphFont"/>
    <w:link w:val="ListParagraphLevel1"/>
    <w:rsid w:val="00FA51BA"/>
    <w:rPr>
      <w:rFonts w:ascii="Arial" w:eastAsia="Arial Unicode MS" w:hAnsi="Arial" w:cs="Arial"/>
      <w:color w:val="000000"/>
      <w:szCs w:val="24"/>
      <w:lang w:val="en-US" w:eastAsia="en-US"/>
    </w:rPr>
  </w:style>
  <w:style w:type="character" w:customStyle="1" w:styleId="ListParagraphLevel2Char">
    <w:name w:val="List Paragraph Level 2 Char"/>
    <w:basedOn w:val="DefaultParagraphFont"/>
    <w:link w:val="ListParagraphLevel2"/>
    <w:rsid w:val="00FA51BA"/>
    <w:rPr>
      <w:rFonts w:ascii="Arial" w:eastAsia="Arial Unicode MS" w:hAnsi="Arial" w:cs="Arial"/>
      <w:color w:val="000000"/>
      <w:szCs w:val="24"/>
      <w:lang w:val="en-US" w:eastAsia="en-US"/>
    </w:rPr>
  </w:style>
  <w:style w:type="paragraph" w:customStyle="1" w:styleId="IntroDefault">
    <w:name w:val="Intro Default"/>
    <w:basedOn w:val="Paragraph"/>
    <w:qFormat/>
    <w:rsid w:val="00FA51BA"/>
  </w:style>
  <w:style w:type="paragraph" w:customStyle="1" w:styleId="IntroCustom">
    <w:name w:val="Intro Custom"/>
    <w:basedOn w:val="Paragraph"/>
    <w:qFormat/>
    <w:rsid w:val="00FA51BA"/>
  </w:style>
  <w:style w:type="paragraph" w:customStyle="1" w:styleId="PrecedentType">
    <w:name w:val="Precedent Type"/>
    <w:basedOn w:val="IgnoredSpacing"/>
    <w:qFormat/>
    <w:rsid w:val="00FA51BA"/>
  </w:style>
  <w:style w:type="paragraph" w:customStyle="1" w:styleId="Operative">
    <w:name w:val="Operative"/>
    <w:basedOn w:val="IgnoredSpacing"/>
    <w:qFormat/>
    <w:rsid w:val="00FA51BA"/>
    <w:rPr>
      <w:vanish/>
    </w:rPr>
  </w:style>
  <w:style w:type="paragraph" w:customStyle="1" w:styleId="SpeedreadBulletList1">
    <w:name w:val="Speedread Bullet List 1"/>
    <w:basedOn w:val="BulletList1"/>
    <w:qFormat/>
    <w:rsid w:val="00FA51BA"/>
    <w:rPr>
      <w:color w:val="000000"/>
    </w:rPr>
  </w:style>
  <w:style w:type="paragraph" w:customStyle="1" w:styleId="PartiesTitle">
    <w:name w:val="Parties Title"/>
    <w:basedOn w:val="Paragraph"/>
    <w:qFormat/>
    <w:rsid w:val="00FA51BA"/>
    <w:rPr>
      <w:b/>
    </w:rPr>
  </w:style>
  <w:style w:type="table" w:styleId="TableGrid">
    <w:name w:val="Table Grid"/>
    <w:basedOn w:val="TableNormal"/>
    <w:uiPriority w:val="59"/>
    <w:rsid w:val="00135F40"/>
    <w:pPr>
      <w:spacing w:after="0" w:line="240" w:lineRule="auto"/>
    </w:pPr>
    <w:rPr>
      <w:rFonts w:ascii="Arial" w:eastAsiaTheme="minorHAnsi" w:hAnsi="Arial" w:cs="Arial"/>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Paragraph">
    <w:name w:val="Question Paragraph"/>
    <w:link w:val="QuestionParagraphChar"/>
    <w:qFormat/>
    <w:rsid w:val="00FA51BA"/>
    <w:pPr>
      <w:numPr>
        <w:numId w:val="3"/>
      </w:numPr>
      <w:shd w:val="clear" w:color="auto" w:fill="D9D9D9" w:themeFill="background1" w:themeFillShade="D9"/>
      <w:spacing w:after="120" w:line="240" w:lineRule="auto"/>
      <w:ind w:left="357" w:hanging="357"/>
      <w:outlineLvl w:val="0"/>
    </w:pPr>
    <w:rPr>
      <w:rFonts w:ascii="Arial" w:eastAsia="Arial Unicode MS" w:hAnsi="Arial" w:cs="Arial"/>
      <w:color w:val="000000"/>
      <w:lang w:val="en-US" w:eastAsia="en-US"/>
    </w:rPr>
  </w:style>
  <w:style w:type="paragraph" w:customStyle="1" w:styleId="BulletList1Pattern">
    <w:name w:val="Bullet List 1 + Pattern"/>
    <w:basedOn w:val="BulletList1"/>
    <w:qFormat/>
    <w:rsid w:val="00FA51BA"/>
    <w:pPr>
      <w:shd w:val="clear" w:color="auto" w:fill="D9D9D9" w:themeFill="background1" w:themeFillShade="D9"/>
      <w:spacing w:after="120"/>
      <w:ind w:left="714" w:hanging="357"/>
    </w:pPr>
    <w:rPr>
      <w:color w:val="000000"/>
    </w:rPr>
  </w:style>
  <w:style w:type="character" w:customStyle="1" w:styleId="QuestionParagraphChar">
    <w:name w:val="Question Paragraph Char"/>
    <w:basedOn w:val="DefaultParagraphFont"/>
    <w:link w:val="QuestionParagraph"/>
    <w:rsid w:val="00FA51BA"/>
    <w:rPr>
      <w:rFonts w:ascii="Arial" w:eastAsia="Arial Unicode MS" w:hAnsi="Arial" w:cs="Arial"/>
      <w:color w:val="000000"/>
      <w:shd w:val="clear" w:color="auto" w:fill="D9D9D9" w:themeFill="background1" w:themeFillShade="D9"/>
      <w:lang w:val="en-US" w:eastAsia="en-US"/>
    </w:rPr>
  </w:style>
  <w:style w:type="paragraph" w:customStyle="1" w:styleId="BulletList2Pattern">
    <w:name w:val="Bullet List 2 + Pattern"/>
    <w:basedOn w:val="BulletList2"/>
    <w:qFormat/>
    <w:rsid w:val="00FA51BA"/>
    <w:pPr>
      <w:shd w:val="clear" w:color="auto" w:fill="D9D9D9" w:themeFill="background1" w:themeFillShade="D9"/>
      <w:ind w:left="1077"/>
    </w:pPr>
    <w:rPr>
      <w:color w:val="000000"/>
    </w:rPr>
  </w:style>
  <w:style w:type="paragraph" w:customStyle="1" w:styleId="TestimoniumContract">
    <w:name w:val="Testimonium Contract"/>
    <w:basedOn w:val="Paragraph"/>
    <w:qFormat/>
    <w:rsid w:val="00FA51BA"/>
  </w:style>
  <w:style w:type="paragraph" w:customStyle="1" w:styleId="TestimoniumDeed">
    <w:name w:val="Testimonium Deed"/>
    <w:basedOn w:val="Paragraph"/>
    <w:qFormat/>
    <w:rsid w:val="00FA51BA"/>
  </w:style>
  <w:style w:type="paragraph" w:customStyle="1" w:styleId="Titlesubclause2">
    <w:name w:val="Title subclause2"/>
    <w:basedOn w:val="Untitledsubclause2"/>
    <w:qFormat/>
    <w:rsid w:val="00FA51BA"/>
    <w:rPr>
      <w:b/>
    </w:rPr>
  </w:style>
  <w:style w:type="paragraph" w:customStyle="1" w:styleId="Titlesubclause3">
    <w:name w:val="Title subclause3"/>
    <w:basedOn w:val="Untitledsubclause3"/>
    <w:qFormat/>
    <w:rsid w:val="00FA51BA"/>
    <w:rPr>
      <w:b/>
    </w:rPr>
  </w:style>
  <w:style w:type="paragraph" w:customStyle="1" w:styleId="Titlesubclause4">
    <w:name w:val="Title subclause4"/>
    <w:basedOn w:val="Untitledsubclause4"/>
    <w:qFormat/>
    <w:rsid w:val="00FA51BA"/>
    <w:rPr>
      <w:b/>
    </w:rPr>
  </w:style>
  <w:style w:type="paragraph" w:customStyle="1" w:styleId="UntitledClause">
    <w:name w:val="Untitled Clause"/>
    <w:basedOn w:val="TitleClause"/>
    <w:qFormat/>
    <w:rsid w:val="00FA51BA"/>
    <w:pPr>
      <w:spacing w:before="120"/>
    </w:pPr>
    <w:rPr>
      <w:b w:val="0"/>
    </w:rPr>
  </w:style>
  <w:style w:type="paragraph" w:customStyle="1" w:styleId="Titlesubclause1">
    <w:name w:val="Title subclause1"/>
    <w:basedOn w:val="Untitledsubclause1"/>
    <w:qFormat/>
    <w:rsid w:val="00FA51BA"/>
    <w:pPr>
      <w:spacing w:before="120"/>
    </w:pPr>
    <w:rPr>
      <w:b/>
    </w:rPr>
  </w:style>
  <w:style w:type="paragraph" w:customStyle="1" w:styleId="Schedule">
    <w:name w:val="Schedule"/>
    <w:qFormat/>
    <w:rsid w:val="00FA51BA"/>
    <w:pPr>
      <w:numPr>
        <w:numId w:val="15"/>
      </w:numPr>
      <w:spacing w:before="240" w:after="240" w:line="240" w:lineRule="atLeast"/>
    </w:pPr>
    <w:rPr>
      <w:rFonts w:ascii="Arial" w:eastAsia="Arial Unicode MS" w:hAnsi="Arial" w:cs="Arial"/>
      <w:b/>
      <w:color w:val="000000"/>
      <w:lang w:val="en-US" w:eastAsia="en-US"/>
    </w:rPr>
  </w:style>
  <w:style w:type="character" w:customStyle="1" w:styleId="Heading1Char">
    <w:name w:val="Heading 1 Char"/>
    <w:basedOn w:val="DefaultParagraphFont"/>
    <w:link w:val="Heading1"/>
    <w:uiPriority w:val="1"/>
    <w:rsid w:val="00135F40"/>
    <w:rPr>
      <w:rFonts w:ascii="Arial" w:eastAsia="Times New Roman" w:hAnsi="Arial" w:cs="Times New Roman"/>
      <w:b/>
      <w:color w:val="000000" w:themeColor="text1"/>
      <w:sz w:val="20"/>
      <w:szCs w:val="20"/>
    </w:rPr>
  </w:style>
  <w:style w:type="character" w:customStyle="1" w:styleId="Heading2Char">
    <w:name w:val="Heading 2 Char"/>
    <w:basedOn w:val="DefaultParagraphFont"/>
    <w:link w:val="Heading2"/>
    <w:uiPriority w:val="1"/>
    <w:rsid w:val="00135F40"/>
    <w:rPr>
      <w:rFonts w:ascii="Arial" w:eastAsia="Times New Roman" w:hAnsi="Arial" w:cs="Times New Roman"/>
      <w:color w:val="000000" w:themeColor="text1"/>
      <w:sz w:val="20"/>
      <w:szCs w:val="20"/>
    </w:rPr>
  </w:style>
  <w:style w:type="character" w:customStyle="1" w:styleId="Heading3Char">
    <w:name w:val="Heading 3 Char"/>
    <w:basedOn w:val="DefaultParagraphFont"/>
    <w:link w:val="Heading3"/>
    <w:uiPriority w:val="1"/>
    <w:rsid w:val="00135F40"/>
    <w:rPr>
      <w:rFonts w:ascii="Arial" w:eastAsia="Times New Roman" w:hAnsi="Arial" w:cs="Times New Roman"/>
      <w:color w:val="000000" w:themeColor="text1"/>
      <w:sz w:val="20"/>
      <w:szCs w:val="20"/>
    </w:rPr>
  </w:style>
  <w:style w:type="character" w:customStyle="1" w:styleId="Heading4Char">
    <w:name w:val="Heading 4 Char"/>
    <w:basedOn w:val="DefaultParagraphFont"/>
    <w:link w:val="Heading4"/>
    <w:uiPriority w:val="1"/>
    <w:rsid w:val="00135F40"/>
    <w:rPr>
      <w:rFonts w:ascii="Arial" w:eastAsia="Times New Roman" w:hAnsi="Arial" w:cs="Times New Roman"/>
      <w:color w:val="000000" w:themeColor="text1"/>
      <w:sz w:val="20"/>
      <w:szCs w:val="20"/>
    </w:rPr>
  </w:style>
  <w:style w:type="character" w:customStyle="1" w:styleId="Heading5Char">
    <w:name w:val="Heading 5 Char"/>
    <w:basedOn w:val="DefaultParagraphFont"/>
    <w:link w:val="Heading5"/>
    <w:uiPriority w:val="1"/>
    <w:rsid w:val="00135F40"/>
    <w:rPr>
      <w:rFonts w:ascii="Arial" w:eastAsia="Times New Roman" w:hAnsi="Arial" w:cs="Times New Roman"/>
      <w:color w:val="000000" w:themeColor="text1"/>
      <w:sz w:val="20"/>
      <w:szCs w:val="20"/>
    </w:rPr>
  </w:style>
  <w:style w:type="character" w:customStyle="1" w:styleId="Heading6Char">
    <w:name w:val="Heading 6 Char"/>
    <w:basedOn w:val="DefaultParagraphFont"/>
    <w:link w:val="Heading6"/>
    <w:uiPriority w:val="1"/>
    <w:rsid w:val="00135F40"/>
    <w:rPr>
      <w:rFonts w:ascii="Arial" w:eastAsia="Times New Roman" w:hAnsi="Arial" w:cs="Times New Roman"/>
      <w:color w:val="000000" w:themeColor="text1"/>
      <w:sz w:val="20"/>
      <w:szCs w:val="20"/>
    </w:rPr>
  </w:style>
  <w:style w:type="character" w:customStyle="1" w:styleId="Heading7Char">
    <w:name w:val="Heading 7 Char"/>
    <w:basedOn w:val="DefaultParagraphFont"/>
    <w:link w:val="Heading7"/>
    <w:uiPriority w:val="99"/>
    <w:semiHidden/>
    <w:rsid w:val="00135F40"/>
    <w:rPr>
      <w:rFonts w:ascii="Arial" w:eastAsiaTheme="minorHAnsi" w:hAnsi="Arial" w:cs="Arial"/>
      <w:sz w:val="20"/>
      <w:szCs w:val="20"/>
      <w:lang w:eastAsia="en-US"/>
    </w:rPr>
  </w:style>
  <w:style w:type="character" w:customStyle="1" w:styleId="Heading8Char">
    <w:name w:val="Heading 8 Char"/>
    <w:basedOn w:val="DefaultParagraphFont"/>
    <w:link w:val="Heading8"/>
    <w:uiPriority w:val="99"/>
    <w:semiHidden/>
    <w:rsid w:val="00135F40"/>
    <w:rPr>
      <w:rFonts w:ascii="Arial" w:eastAsiaTheme="minorHAnsi" w:hAnsi="Arial" w:cs="Arial"/>
      <w:sz w:val="20"/>
      <w:szCs w:val="20"/>
      <w:lang w:eastAsia="en-US"/>
    </w:rPr>
  </w:style>
  <w:style w:type="character" w:customStyle="1" w:styleId="Heading9Char">
    <w:name w:val="Heading 9 Char"/>
    <w:basedOn w:val="DefaultParagraphFont"/>
    <w:link w:val="Heading9"/>
    <w:uiPriority w:val="99"/>
    <w:semiHidden/>
    <w:rsid w:val="00135F40"/>
    <w:rPr>
      <w:rFonts w:ascii="Arial" w:eastAsiaTheme="minorHAnsi" w:hAnsi="Arial" w:cs="Arial"/>
      <w:sz w:val="20"/>
      <w:szCs w:val="20"/>
      <w:lang w:eastAsia="en-US"/>
    </w:rPr>
  </w:style>
  <w:style w:type="paragraph" w:customStyle="1" w:styleId="ScheduleTitle">
    <w:name w:val="Schedule Title"/>
    <w:basedOn w:val="Paragraph"/>
    <w:qFormat/>
    <w:rsid w:val="00FA51BA"/>
    <w:rPr>
      <w:b/>
    </w:rPr>
  </w:style>
  <w:style w:type="paragraph" w:customStyle="1" w:styleId="Part">
    <w:name w:val="Part"/>
    <w:basedOn w:val="Paragraph"/>
    <w:qFormat/>
    <w:rsid w:val="00FA51BA"/>
    <w:pPr>
      <w:numPr>
        <w:ilvl w:val="1"/>
        <w:numId w:val="15"/>
      </w:numPr>
      <w:spacing w:before="240" w:after="240"/>
      <w:jc w:val="left"/>
    </w:pPr>
    <w:rPr>
      <w:b/>
    </w:rPr>
  </w:style>
  <w:style w:type="paragraph" w:customStyle="1" w:styleId="AnnexTitle">
    <w:name w:val="Annex Title"/>
    <w:basedOn w:val="Paragraph"/>
    <w:next w:val="Paragraph"/>
    <w:qFormat/>
    <w:rsid w:val="00FA51BA"/>
    <w:pPr>
      <w:spacing w:before="240" w:after="240"/>
    </w:pPr>
    <w:rPr>
      <w:b/>
    </w:rPr>
  </w:style>
  <w:style w:type="paragraph" w:customStyle="1" w:styleId="PartTitle">
    <w:name w:val="Part Title"/>
    <w:basedOn w:val="Paragraph"/>
    <w:qFormat/>
    <w:rsid w:val="00FA51BA"/>
    <w:rPr>
      <w:b/>
    </w:rPr>
  </w:style>
  <w:style w:type="paragraph" w:customStyle="1" w:styleId="Testimonium">
    <w:name w:val="Testimonium"/>
    <w:basedOn w:val="Paragraph"/>
    <w:qFormat/>
    <w:rsid w:val="00FA51BA"/>
  </w:style>
  <w:style w:type="character" w:customStyle="1" w:styleId="apple-converted-space">
    <w:name w:val="apple-converted-space"/>
    <w:basedOn w:val="DefaultParagraphFont"/>
    <w:rsid w:val="00FA51BA"/>
    <w:rPr>
      <w:color w:val="000000"/>
    </w:rPr>
  </w:style>
  <w:style w:type="character" w:styleId="Emphasis">
    <w:name w:val="Emphasis"/>
    <w:basedOn w:val="DefaultParagraphFont"/>
    <w:uiPriority w:val="20"/>
    <w:qFormat/>
    <w:rsid w:val="00FA51BA"/>
    <w:rPr>
      <w:i/>
      <w:iCs/>
      <w:color w:val="000000"/>
    </w:rPr>
  </w:style>
  <w:style w:type="paragraph" w:customStyle="1" w:styleId="NoNumTitle-Clause">
    <w:name w:val="No Num Title - Clause"/>
    <w:basedOn w:val="TitleClause"/>
    <w:qFormat/>
    <w:rsid w:val="00FA51BA"/>
    <w:pPr>
      <w:numPr>
        <w:numId w:val="0"/>
      </w:numPr>
      <w:ind w:left="720"/>
    </w:pPr>
  </w:style>
  <w:style w:type="paragraph" w:customStyle="1" w:styleId="NoNumTitlesubclause1">
    <w:name w:val="No Num Title subclause1"/>
    <w:basedOn w:val="Titlesubclause1"/>
    <w:qFormat/>
    <w:rsid w:val="00FA51BA"/>
    <w:pPr>
      <w:numPr>
        <w:ilvl w:val="0"/>
        <w:numId w:val="0"/>
      </w:numPr>
      <w:ind w:left="720"/>
    </w:pPr>
  </w:style>
  <w:style w:type="paragraph" w:customStyle="1" w:styleId="AddressLine">
    <w:name w:val="Address Line"/>
    <w:basedOn w:val="Paragraph"/>
    <w:qFormat/>
    <w:rsid w:val="00FA51BA"/>
  </w:style>
  <w:style w:type="paragraph" w:styleId="Date">
    <w:name w:val="Date"/>
    <w:basedOn w:val="Paragraph"/>
    <w:qFormat/>
    <w:rsid w:val="00FA51BA"/>
  </w:style>
  <w:style w:type="paragraph" w:customStyle="1" w:styleId="SalutationPara">
    <w:name w:val="Salutation Para"/>
    <w:basedOn w:val="Paragraph"/>
    <w:next w:val="Paragraph"/>
    <w:qFormat/>
    <w:rsid w:val="00FA51BA"/>
    <w:pPr>
      <w:spacing w:before="240"/>
    </w:pPr>
  </w:style>
  <w:style w:type="character" w:styleId="FollowedHyperlink">
    <w:name w:val="FollowedHyperlink"/>
    <w:basedOn w:val="DefaultParagraphFont"/>
    <w:uiPriority w:val="1"/>
    <w:rsid w:val="00135F40"/>
    <w:rPr>
      <w:color w:val="800080" w:themeColor="followedHyperlink"/>
      <w:u w:val="single"/>
    </w:rPr>
  </w:style>
  <w:style w:type="character" w:customStyle="1" w:styleId="DefTerm">
    <w:name w:val="DefTerm"/>
    <w:basedOn w:val="DefaultParagraphFont"/>
    <w:uiPriority w:val="1"/>
    <w:qFormat/>
    <w:rsid w:val="00FA51BA"/>
    <w:rPr>
      <w:b/>
      <w:color w:val="000000"/>
    </w:rPr>
  </w:style>
  <w:style w:type="table" w:customStyle="1" w:styleId="ShadedTable">
    <w:name w:val="Shaded Table"/>
    <w:basedOn w:val="TableNormal"/>
    <w:uiPriority w:val="99"/>
    <w:rsid w:val="00FA51BA"/>
    <w:pPr>
      <w:spacing w:after="0" w:line="240" w:lineRule="auto"/>
    </w:pPr>
    <w:rPr>
      <w:color w:val="000000"/>
    </w:rPr>
    <w:tblPr>
      <w:tblBorders>
        <w:top w:val="single" w:sz="4" w:space="0" w:color="auto"/>
        <w:left w:val="single" w:sz="4" w:space="0" w:color="auto"/>
        <w:bottom w:val="single" w:sz="4" w:space="0" w:color="auto"/>
        <w:right w:val="single" w:sz="4" w:space="0" w:color="auto"/>
      </w:tblBorders>
    </w:tblPr>
    <w:tcPr>
      <w:shd w:val="clear" w:color="auto" w:fill="EEECE1" w:themeFill="background2"/>
    </w:tcPr>
  </w:style>
  <w:style w:type="paragraph" w:customStyle="1" w:styleId="Letterhead">
    <w:name w:val="Letterhead"/>
    <w:basedOn w:val="Paragraph"/>
    <w:qFormat/>
    <w:rsid w:val="00FA51BA"/>
    <w:rPr>
      <w:i/>
    </w:rPr>
  </w:style>
  <w:style w:type="paragraph" w:customStyle="1" w:styleId="LetterTitle">
    <w:name w:val="Letter Title"/>
    <w:basedOn w:val="Paragraph"/>
    <w:qFormat/>
    <w:rsid w:val="00FA51BA"/>
    <w:rPr>
      <w:b/>
    </w:rPr>
  </w:style>
  <w:style w:type="paragraph" w:customStyle="1" w:styleId="LongQuestionPara">
    <w:name w:val="Long Question Para"/>
    <w:basedOn w:val="Paragraph"/>
    <w:link w:val="LongQuestionParaChar"/>
    <w:rsid w:val="00FA51BA"/>
    <w:pPr>
      <w:numPr>
        <w:numId w:val="5"/>
      </w:numPr>
      <w:spacing w:before="240" w:after="240" w:line="240" w:lineRule="auto"/>
      <w:outlineLvl w:val="1"/>
    </w:pPr>
    <w:rPr>
      <w:lang w:val="en-US"/>
    </w:rPr>
  </w:style>
  <w:style w:type="character" w:customStyle="1" w:styleId="LongQuestionParaChar">
    <w:name w:val="Long Question Para Char"/>
    <w:basedOn w:val="DefaultParagraphFont"/>
    <w:link w:val="LongQuestionPara"/>
    <w:rsid w:val="00FA51BA"/>
    <w:rPr>
      <w:rFonts w:ascii="Arial" w:eastAsia="Arial Unicode MS" w:hAnsi="Arial" w:cs="Arial"/>
      <w:color w:val="000000"/>
      <w:sz w:val="20"/>
      <w:szCs w:val="20"/>
      <w:lang w:val="en-US" w:eastAsia="en-US"/>
    </w:rPr>
  </w:style>
  <w:style w:type="paragraph" w:customStyle="1" w:styleId="ShortQuestionPara">
    <w:name w:val="Short Question Para"/>
    <w:basedOn w:val="Paragraph"/>
    <w:link w:val="ShortQuestionParaChar"/>
    <w:rsid w:val="00FA51BA"/>
    <w:pPr>
      <w:shd w:val="clear" w:color="auto" w:fill="D9D9D9" w:themeFill="background1" w:themeFillShade="D9"/>
      <w:tabs>
        <w:tab w:val="left" w:pos="270"/>
      </w:tabs>
      <w:spacing w:after="40" w:line="240" w:lineRule="auto"/>
      <w:outlineLvl w:val="1"/>
    </w:pPr>
    <w:rPr>
      <w:bCs/>
      <w:lang w:val="en-US"/>
    </w:rPr>
  </w:style>
  <w:style w:type="character" w:customStyle="1" w:styleId="ShortQuestionParaChar">
    <w:name w:val="Short Question Para Char"/>
    <w:basedOn w:val="DefaultParagraphFont"/>
    <w:link w:val="ShortQuestionPara"/>
    <w:rsid w:val="00FA51BA"/>
    <w:rPr>
      <w:rFonts w:ascii="Arial" w:eastAsia="Arial Unicode MS" w:hAnsi="Arial" w:cs="Arial"/>
      <w:bCs/>
      <w:color w:val="000000"/>
      <w:sz w:val="20"/>
      <w:szCs w:val="20"/>
      <w:shd w:val="clear" w:color="auto" w:fill="D9D9D9" w:themeFill="background1" w:themeFillShade="D9"/>
      <w:lang w:val="en-US" w:eastAsia="en-US"/>
    </w:rPr>
  </w:style>
  <w:style w:type="character" w:customStyle="1" w:styleId="ParagraphChar">
    <w:name w:val="Paragraph Char"/>
    <w:basedOn w:val="DefaultParagraphFont"/>
    <w:link w:val="Paragraph"/>
    <w:rsid w:val="00FA51BA"/>
    <w:rPr>
      <w:rFonts w:ascii="Arial" w:eastAsia="Arial Unicode MS" w:hAnsi="Arial" w:cs="Arial"/>
      <w:color w:val="000000"/>
      <w:szCs w:val="20"/>
      <w:lang w:eastAsia="en-US"/>
    </w:rPr>
  </w:style>
  <w:style w:type="paragraph" w:customStyle="1" w:styleId="811D3A974D454A258B71E3C4DE24C4F210">
    <w:name w:val="811D3A974D454A258B71E3C4DE24C4F210"/>
    <w:rsid w:val="00656CE1"/>
    <w:pPr>
      <w:spacing w:after="120" w:line="240" w:lineRule="auto"/>
    </w:pPr>
    <w:rPr>
      <w:rFonts w:ascii="Arial" w:eastAsia="Times New Roman" w:hAnsi="Arial" w:cs="Times New Roman"/>
      <w:color w:val="000000"/>
      <w:sz w:val="24"/>
      <w:lang w:val="en-US" w:eastAsia="en-US"/>
    </w:rPr>
  </w:style>
  <w:style w:type="paragraph" w:customStyle="1" w:styleId="ListParagraphLevel3">
    <w:name w:val="List Paragraph Level 3"/>
    <w:qFormat/>
    <w:rsid w:val="00FA51BA"/>
    <w:pPr>
      <w:spacing w:after="120" w:line="240" w:lineRule="auto"/>
      <w:ind w:left="2160"/>
    </w:pPr>
    <w:rPr>
      <w:rFonts w:ascii="Times New Roman" w:eastAsia="Times New Roman" w:hAnsi="Times New Roman" w:cs="Times New Roman"/>
      <w:color w:val="000000"/>
      <w:sz w:val="24"/>
      <w:szCs w:val="20"/>
      <w:lang w:eastAsia="en-US"/>
    </w:rPr>
  </w:style>
  <w:style w:type="paragraph" w:customStyle="1" w:styleId="DocumentTitle">
    <w:name w:val="Document Title"/>
    <w:basedOn w:val="Paragraph"/>
    <w:qFormat/>
    <w:rsid w:val="00FA51BA"/>
    <w:pPr>
      <w:jc w:val="center"/>
    </w:pPr>
    <w:rPr>
      <w:sz w:val="28"/>
    </w:rPr>
  </w:style>
  <w:style w:type="paragraph" w:customStyle="1" w:styleId="Title-Clause">
    <w:name w:val="Title - Clause"/>
    <w:aliases w:val="BIWS Heading 1"/>
    <w:basedOn w:val="Normal"/>
    <w:rsid w:val="00FA51BA"/>
    <w:pPr>
      <w:keepNext/>
      <w:tabs>
        <w:tab w:val="num" w:pos="720"/>
      </w:tabs>
      <w:spacing w:before="240" w:after="240" w:line="300" w:lineRule="atLeast"/>
      <w:ind w:left="720" w:hanging="720"/>
      <w:jc w:val="both"/>
      <w:outlineLvl w:val="0"/>
    </w:pPr>
    <w:rPr>
      <w:rFonts w:eastAsia="Arial Unicode MS"/>
      <w:b/>
      <w:color w:val="000000"/>
      <w:kern w:val="28"/>
    </w:rPr>
  </w:style>
  <w:style w:type="paragraph" w:customStyle="1" w:styleId="Para-Clause-nonum">
    <w:name w:val="Para - Clause - no num"/>
    <w:aliases w:val="Body  clause"/>
    <w:basedOn w:val="Normal"/>
    <w:next w:val="Title-Clause"/>
    <w:rsid w:val="00FA51BA"/>
    <w:pPr>
      <w:spacing w:before="120" w:after="120" w:line="300" w:lineRule="atLeast"/>
      <w:ind w:left="720"/>
      <w:jc w:val="both"/>
    </w:pPr>
    <w:rPr>
      <w:rFonts w:eastAsia="Arial Unicode MS"/>
      <w:color w:val="000000"/>
    </w:rPr>
  </w:style>
  <w:style w:type="paragraph" w:customStyle="1" w:styleId="Para-Clause">
    <w:name w:val="Para - Clause"/>
    <w:basedOn w:val="Title-Clause"/>
    <w:qFormat/>
    <w:rsid w:val="00FA51BA"/>
    <w:pPr>
      <w:spacing w:before="120"/>
    </w:pPr>
    <w:rPr>
      <w:b w:val="0"/>
    </w:rPr>
  </w:style>
  <w:style w:type="paragraph" w:customStyle="1" w:styleId="CoversheetParagraph">
    <w:name w:val="Coversheet Paragraph"/>
    <w:basedOn w:val="Normal"/>
    <w:autoRedefine/>
    <w:rsid w:val="00FA51BA"/>
    <w:pPr>
      <w:spacing w:line="300" w:lineRule="atLeast"/>
      <w:jc w:val="center"/>
    </w:pPr>
    <w:rPr>
      <w:rFonts w:ascii="Times New Roman" w:eastAsia="Times New Roman" w:hAnsi="Times New Roman" w:cs="Times New Roman"/>
      <w:color w:val="000000"/>
    </w:rPr>
  </w:style>
  <w:style w:type="paragraph" w:customStyle="1" w:styleId="CoversheetIntro">
    <w:name w:val="Coversheet Intro"/>
    <w:basedOn w:val="CoversheetTitle"/>
    <w:qFormat/>
    <w:rsid w:val="00FA51BA"/>
    <w:rPr>
      <w:smallCaps w:val="0"/>
      <w:sz w:val="22"/>
    </w:rPr>
  </w:style>
  <w:style w:type="paragraph" w:customStyle="1" w:styleId="CoversheetStaticText">
    <w:name w:val="Coversheet Static Text"/>
    <w:basedOn w:val="CoversheetIntro"/>
    <w:qFormat/>
    <w:rsid w:val="00FA51BA"/>
    <w:rPr>
      <w:b w:val="0"/>
    </w:rPr>
  </w:style>
  <w:style w:type="paragraph" w:customStyle="1" w:styleId="CoversheetParty">
    <w:name w:val="Coversheet Party"/>
    <w:basedOn w:val="CoversheetIntro"/>
    <w:qFormat/>
    <w:rsid w:val="00FA51BA"/>
  </w:style>
  <w:style w:type="paragraph" w:customStyle="1" w:styleId="NoNumUntitledClause">
    <w:name w:val="No Num Untitled Clause"/>
    <w:basedOn w:val="UntitledClause"/>
    <w:qFormat/>
    <w:rsid w:val="00FA51BA"/>
    <w:pPr>
      <w:numPr>
        <w:numId w:val="0"/>
      </w:numPr>
      <w:ind w:left="720"/>
    </w:pPr>
  </w:style>
  <w:style w:type="paragraph" w:customStyle="1" w:styleId="BackgroundSubclause1">
    <w:name w:val="Background Subclause1"/>
    <w:basedOn w:val="Background"/>
    <w:qFormat/>
    <w:rsid w:val="00FA51BA"/>
    <w:pPr>
      <w:numPr>
        <w:numId w:val="0"/>
      </w:numPr>
    </w:pPr>
    <w:rPr>
      <w:color w:val="000000"/>
    </w:rPr>
  </w:style>
  <w:style w:type="paragraph" w:customStyle="1" w:styleId="BackgroundSubclause2">
    <w:name w:val="Background Subclause2"/>
    <w:basedOn w:val="Background"/>
    <w:qFormat/>
    <w:rsid w:val="00FA51BA"/>
    <w:pPr>
      <w:numPr>
        <w:numId w:val="0"/>
      </w:numPr>
    </w:pPr>
    <w:rPr>
      <w:color w:val="000000"/>
    </w:rPr>
  </w:style>
  <w:style w:type="paragraph" w:customStyle="1" w:styleId="HeadingLevel2CQA">
    <w:name w:val="Heading Level 2 CQA"/>
    <w:basedOn w:val="HeadingLevel2"/>
    <w:qFormat/>
    <w:rsid w:val="00FA51BA"/>
  </w:style>
  <w:style w:type="paragraph" w:customStyle="1" w:styleId="ClauseBullet1">
    <w:name w:val="Clause Bullet 1"/>
    <w:basedOn w:val="ParaClause"/>
    <w:qFormat/>
    <w:rsid w:val="00FA51BA"/>
    <w:pPr>
      <w:numPr>
        <w:numId w:val="6"/>
      </w:numPr>
      <w:ind w:left="1077" w:hanging="357"/>
      <w:outlineLvl w:val="0"/>
    </w:pPr>
  </w:style>
  <w:style w:type="paragraph" w:customStyle="1" w:styleId="ClauseBullet2">
    <w:name w:val="Clause Bullet 2"/>
    <w:basedOn w:val="ParaClause"/>
    <w:qFormat/>
    <w:rsid w:val="00FA51BA"/>
    <w:pPr>
      <w:numPr>
        <w:numId w:val="7"/>
      </w:numPr>
      <w:ind w:left="1434" w:hanging="357"/>
      <w:outlineLvl w:val="1"/>
    </w:pPr>
  </w:style>
  <w:style w:type="paragraph" w:customStyle="1" w:styleId="subclause1Bullet1">
    <w:name w:val="subclause 1 Bullet 1"/>
    <w:basedOn w:val="Parasubclause1"/>
    <w:qFormat/>
    <w:rsid w:val="00FA51BA"/>
    <w:pPr>
      <w:numPr>
        <w:numId w:val="8"/>
      </w:numPr>
      <w:ind w:left="1077" w:hanging="357"/>
    </w:pPr>
  </w:style>
  <w:style w:type="paragraph" w:customStyle="1" w:styleId="subclause2Bullet1">
    <w:name w:val="subclause 2 Bullet 1"/>
    <w:basedOn w:val="Parasubclause2"/>
    <w:qFormat/>
    <w:rsid w:val="00FA51BA"/>
    <w:pPr>
      <w:numPr>
        <w:numId w:val="10"/>
      </w:numPr>
      <w:ind w:left="1434" w:hanging="357"/>
    </w:pPr>
  </w:style>
  <w:style w:type="paragraph" w:customStyle="1" w:styleId="subclause3Bullet1">
    <w:name w:val="subclause 3 Bullet 1"/>
    <w:basedOn w:val="Parasubclause3"/>
    <w:qFormat/>
    <w:rsid w:val="00FA51BA"/>
    <w:pPr>
      <w:numPr>
        <w:numId w:val="9"/>
      </w:numPr>
      <w:ind w:left="2273" w:hanging="357"/>
    </w:pPr>
  </w:style>
  <w:style w:type="paragraph" w:customStyle="1" w:styleId="subclause1Bullet2">
    <w:name w:val="subclause 1 Bullet 2"/>
    <w:basedOn w:val="Parasubclause1"/>
    <w:qFormat/>
    <w:rsid w:val="00FA51BA"/>
    <w:pPr>
      <w:numPr>
        <w:numId w:val="11"/>
      </w:numPr>
      <w:ind w:left="1434" w:hanging="357"/>
    </w:pPr>
  </w:style>
  <w:style w:type="paragraph" w:customStyle="1" w:styleId="subclause2Bullet2">
    <w:name w:val="subclause 2 Bullet 2"/>
    <w:basedOn w:val="Parasubclause2"/>
    <w:qFormat/>
    <w:rsid w:val="00FA51BA"/>
    <w:pPr>
      <w:numPr>
        <w:numId w:val="12"/>
      </w:numPr>
      <w:ind w:left="2273" w:hanging="357"/>
    </w:pPr>
  </w:style>
  <w:style w:type="paragraph" w:customStyle="1" w:styleId="subclause3Bullet2">
    <w:name w:val="subclause 3 Bullet 2"/>
    <w:basedOn w:val="Parasubclause3"/>
    <w:qFormat/>
    <w:rsid w:val="00FA51BA"/>
    <w:pPr>
      <w:numPr>
        <w:numId w:val="13"/>
      </w:numPr>
      <w:ind w:left="2982" w:hanging="357"/>
    </w:pPr>
  </w:style>
  <w:style w:type="paragraph" w:customStyle="1" w:styleId="DefinedTermBullet">
    <w:name w:val="Defined Term Bullet"/>
    <w:basedOn w:val="DefinedTermPara"/>
    <w:qFormat/>
    <w:rsid w:val="00FA51BA"/>
    <w:pPr>
      <w:numPr>
        <w:numId w:val="14"/>
      </w:numPr>
    </w:pPr>
  </w:style>
  <w:style w:type="paragraph" w:customStyle="1" w:styleId="DefinedTermNumber">
    <w:name w:val="Defined Term Number"/>
    <w:basedOn w:val="DefinedTermPara"/>
    <w:qFormat/>
    <w:rsid w:val="00FA51BA"/>
    <w:pPr>
      <w:numPr>
        <w:ilvl w:val="1"/>
      </w:numPr>
    </w:pPr>
  </w:style>
  <w:style w:type="paragraph" w:customStyle="1" w:styleId="AdditionalTitle">
    <w:name w:val="Additional Title"/>
    <w:basedOn w:val="Paragraph"/>
    <w:qFormat/>
    <w:rsid w:val="00FA51BA"/>
    <w:pPr>
      <w:jc w:val="left"/>
    </w:pPr>
    <w:rPr>
      <w:b/>
      <w:sz w:val="24"/>
    </w:rPr>
  </w:style>
  <w:style w:type="character" w:customStyle="1" w:styleId="error">
    <w:name w:val="error"/>
    <w:basedOn w:val="DefaultParagraphFont"/>
    <w:rsid w:val="00FA51BA"/>
    <w:rPr>
      <w:color w:val="000000"/>
    </w:rPr>
  </w:style>
  <w:style w:type="paragraph" w:customStyle="1" w:styleId="NoNumUntitledsubclause1">
    <w:name w:val="No Num Untitled subclause 1"/>
    <w:basedOn w:val="Untitledsubclause1"/>
    <w:qFormat/>
    <w:rsid w:val="00FA51BA"/>
    <w:pPr>
      <w:numPr>
        <w:ilvl w:val="0"/>
        <w:numId w:val="0"/>
      </w:numPr>
      <w:ind w:left="720"/>
    </w:pPr>
  </w:style>
  <w:style w:type="paragraph" w:customStyle="1" w:styleId="BackgroundParaClause">
    <w:name w:val="Background Para Clause"/>
    <w:basedOn w:val="Background"/>
    <w:qFormat/>
    <w:rsid w:val="00FA51BA"/>
    <w:pPr>
      <w:numPr>
        <w:numId w:val="0"/>
      </w:numPr>
    </w:pPr>
    <w:rPr>
      <w:color w:val="000000"/>
    </w:rPr>
  </w:style>
  <w:style w:type="paragraph" w:customStyle="1" w:styleId="BackgroundParaSubclause1">
    <w:name w:val="Background Para Subclause1"/>
    <w:basedOn w:val="BackgroundSubclause1"/>
    <w:qFormat/>
    <w:rsid w:val="00FA51BA"/>
    <w:pPr>
      <w:ind w:left="994"/>
    </w:pPr>
    <w:rPr>
      <w:lang w:val="en-US"/>
    </w:rPr>
  </w:style>
  <w:style w:type="paragraph" w:customStyle="1" w:styleId="BackgroundParaSubclause2">
    <w:name w:val="Background Para Subclause2"/>
    <w:basedOn w:val="BackgroundSubclause2"/>
    <w:qFormat/>
    <w:rsid w:val="00FA51BA"/>
    <w:pPr>
      <w:ind w:left="1701"/>
    </w:pPr>
    <w:rPr>
      <w:lang w:val="en-US"/>
    </w:rPr>
  </w:style>
  <w:style w:type="paragraph" w:customStyle="1" w:styleId="ClauseBulletPara">
    <w:name w:val="Clause Bullet Para"/>
    <w:basedOn w:val="ClauseBullet1"/>
    <w:qFormat/>
    <w:rsid w:val="00FA51BA"/>
    <w:pPr>
      <w:numPr>
        <w:numId w:val="0"/>
      </w:numPr>
      <w:ind w:left="1080"/>
    </w:pPr>
    <w:rPr>
      <w:lang w:val="en-US"/>
    </w:rPr>
  </w:style>
  <w:style w:type="paragraph" w:customStyle="1" w:styleId="ClauseBullet2Para">
    <w:name w:val="Clause Bullet 2 Para"/>
    <w:basedOn w:val="ClauseBullet2"/>
    <w:qFormat/>
    <w:rsid w:val="00FA51BA"/>
    <w:pPr>
      <w:numPr>
        <w:numId w:val="0"/>
      </w:numPr>
      <w:ind w:left="1440"/>
    </w:pPr>
    <w:rPr>
      <w:lang w:val="en-US"/>
    </w:rPr>
  </w:style>
  <w:style w:type="paragraph" w:customStyle="1" w:styleId="ACTJurisdictionCheckList">
    <w:name w:val="ACTJurisdictionCheckList"/>
    <w:basedOn w:val="Normal"/>
    <w:rsid w:val="00FA51BA"/>
    <w:pPr>
      <w:spacing w:after="120" w:line="300" w:lineRule="atLeast"/>
    </w:pPr>
    <w:rPr>
      <w:rFonts w:eastAsia="Arial Unicode MS"/>
      <w:b/>
      <w:color w:val="000000"/>
      <w:sz w:val="28"/>
    </w:rPr>
  </w:style>
  <w:style w:type="paragraph" w:customStyle="1" w:styleId="JurisdictionDraftingnoteTitle">
    <w:name w:val="Jurisdiction Draftingnote Title"/>
    <w:basedOn w:val="DraftingnoteTitle"/>
    <w:qFormat/>
    <w:rsid w:val="00FA51BA"/>
  </w:style>
  <w:style w:type="paragraph" w:customStyle="1" w:styleId="ScheduleTitleClause">
    <w:name w:val="Schedule Title Clause"/>
    <w:basedOn w:val="Normal"/>
    <w:rsid w:val="00FA51BA"/>
    <w:pPr>
      <w:keepNext/>
      <w:numPr>
        <w:ilvl w:val="2"/>
        <w:numId w:val="15"/>
      </w:numPr>
      <w:spacing w:before="240" w:after="240" w:line="300" w:lineRule="atLeast"/>
      <w:jc w:val="both"/>
      <w:outlineLvl w:val="0"/>
    </w:pPr>
    <w:rPr>
      <w:rFonts w:eastAsia="Arial Unicode MS"/>
      <w:b/>
      <w:color w:val="000000"/>
      <w:kern w:val="28"/>
    </w:rPr>
  </w:style>
  <w:style w:type="paragraph" w:customStyle="1" w:styleId="ScheduleUntitledsubclause1">
    <w:name w:val="Schedule Untitled subclause 1"/>
    <w:basedOn w:val="Normal"/>
    <w:rsid w:val="00FA51BA"/>
    <w:pPr>
      <w:numPr>
        <w:ilvl w:val="3"/>
        <w:numId w:val="15"/>
      </w:numPr>
      <w:spacing w:before="280" w:after="120" w:line="300" w:lineRule="atLeast"/>
      <w:jc w:val="both"/>
      <w:outlineLvl w:val="1"/>
    </w:pPr>
    <w:rPr>
      <w:rFonts w:eastAsia="Arial Unicode MS"/>
      <w:color w:val="000000"/>
    </w:rPr>
  </w:style>
  <w:style w:type="paragraph" w:customStyle="1" w:styleId="ScheduleUntitledsubclause2">
    <w:name w:val="Schedule Untitled subclause 2"/>
    <w:basedOn w:val="Normal"/>
    <w:rsid w:val="00FA51BA"/>
    <w:pPr>
      <w:numPr>
        <w:ilvl w:val="4"/>
        <w:numId w:val="15"/>
      </w:numPr>
      <w:spacing w:after="120" w:line="300" w:lineRule="atLeast"/>
      <w:jc w:val="both"/>
      <w:outlineLvl w:val="2"/>
    </w:pPr>
    <w:rPr>
      <w:rFonts w:eastAsia="Arial Unicode MS"/>
      <w:color w:val="000000"/>
    </w:rPr>
  </w:style>
  <w:style w:type="paragraph" w:customStyle="1" w:styleId="ScheduleUntitledsubclause3">
    <w:name w:val="Schedule Untitled subclause 3"/>
    <w:basedOn w:val="Normal"/>
    <w:rsid w:val="00FA51BA"/>
    <w:pPr>
      <w:numPr>
        <w:ilvl w:val="5"/>
        <w:numId w:val="15"/>
      </w:numPr>
      <w:tabs>
        <w:tab w:val="left" w:pos="2261"/>
      </w:tabs>
      <w:spacing w:after="120" w:line="300" w:lineRule="atLeast"/>
      <w:jc w:val="both"/>
      <w:outlineLvl w:val="3"/>
    </w:pPr>
    <w:rPr>
      <w:rFonts w:eastAsia="Arial Unicode MS"/>
      <w:color w:val="000000"/>
    </w:rPr>
  </w:style>
  <w:style w:type="paragraph" w:customStyle="1" w:styleId="ScheduleUntitledsubclause4">
    <w:name w:val="Schedule Untitled subclause 4"/>
    <w:basedOn w:val="Normal"/>
    <w:rsid w:val="00FA51BA"/>
    <w:pPr>
      <w:spacing w:after="120" w:line="300" w:lineRule="atLeast"/>
      <w:jc w:val="both"/>
      <w:outlineLvl w:val="4"/>
    </w:pPr>
    <w:rPr>
      <w:rFonts w:eastAsia="Arial Unicode MS"/>
      <w:color w:val="000000"/>
    </w:rPr>
  </w:style>
  <w:style w:type="paragraph" w:customStyle="1" w:styleId="BulletListPattern1">
    <w:name w:val="Bullet List Pattern 1"/>
    <w:basedOn w:val="BulletList1"/>
    <w:qFormat/>
    <w:rsid w:val="00FA51BA"/>
    <w:pPr>
      <w:shd w:val="clear" w:color="auto" w:fill="D9D9D9" w:themeFill="background1" w:themeFillShade="D9"/>
      <w:spacing w:after="120"/>
      <w:ind w:left="714" w:hanging="357"/>
    </w:pPr>
    <w:rPr>
      <w:color w:val="000000"/>
    </w:rPr>
  </w:style>
  <w:style w:type="paragraph" w:customStyle="1" w:styleId="BulletListPattern2">
    <w:name w:val="Bullet List Pattern 2"/>
    <w:basedOn w:val="BulletList2"/>
    <w:qFormat/>
    <w:rsid w:val="00FA51BA"/>
    <w:pPr>
      <w:shd w:val="clear" w:color="auto" w:fill="D9D9D9" w:themeFill="background1" w:themeFillShade="D9"/>
      <w:ind w:left="1077"/>
    </w:pPr>
    <w:rPr>
      <w:color w:val="000000"/>
    </w:rPr>
  </w:style>
  <w:style w:type="paragraph" w:customStyle="1" w:styleId="ScheduleUntitledClause">
    <w:name w:val="Schedule Untitled Clause"/>
    <w:basedOn w:val="ScheduleTitleClause"/>
    <w:qFormat/>
    <w:rsid w:val="00FA51BA"/>
    <w:pPr>
      <w:spacing w:before="120"/>
    </w:pPr>
    <w:rPr>
      <w:b w:val="0"/>
    </w:rPr>
  </w:style>
  <w:style w:type="paragraph" w:customStyle="1" w:styleId="EmptyClausePara">
    <w:name w:val="Empty Clause Para"/>
    <w:basedOn w:val="IgnoredSpacing"/>
    <w:qFormat/>
    <w:rsid w:val="00FA51BA"/>
  </w:style>
  <w:style w:type="paragraph" w:styleId="ListParagraph">
    <w:name w:val="List Paragraph"/>
    <w:basedOn w:val="Normal"/>
    <w:uiPriority w:val="34"/>
    <w:qFormat/>
    <w:rsid w:val="00FA51BA"/>
    <w:pPr>
      <w:ind w:left="720"/>
      <w:contextualSpacing/>
    </w:pPr>
    <w:rPr>
      <w:color w:val="000000"/>
    </w:rPr>
  </w:style>
  <w:style w:type="paragraph" w:customStyle="1" w:styleId="ScheduleTitlesubclause1">
    <w:name w:val="Schedule Title subclause1"/>
    <w:basedOn w:val="ScheduleUntitledsubclause1"/>
    <w:qFormat/>
    <w:rsid w:val="00FA51BA"/>
    <w:pPr>
      <w:spacing w:before="120"/>
    </w:pPr>
    <w:rPr>
      <w:b/>
    </w:rPr>
  </w:style>
  <w:style w:type="paragraph" w:customStyle="1" w:styleId="835FF0B0D5344FE4A8EE41F54AA7E17C16">
    <w:name w:val="835FF0B0D5344FE4A8EE41F54AA7E17C16"/>
    <w:rsid w:val="00224E1E"/>
    <w:pPr>
      <w:spacing w:after="120" w:line="240" w:lineRule="auto"/>
    </w:pPr>
    <w:rPr>
      <w:rFonts w:ascii="Arial" w:eastAsia="Times New Roman" w:hAnsi="Arial" w:cs="Times New Roman"/>
      <w:color w:val="000000"/>
      <w:sz w:val="24"/>
      <w:szCs w:val="24"/>
      <w:lang w:val="en-US" w:eastAsia="en-US"/>
    </w:rPr>
  </w:style>
  <w:style w:type="paragraph" w:customStyle="1" w:styleId="SectorSpecificNoteTitle">
    <w:name w:val="Sector Specific Note Title"/>
    <w:basedOn w:val="JurisdictionDraftingnoteTitle"/>
    <w:qFormat/>
    <w:rsid w:val="00FA51BA"/>
  </w:style>
  <w:style w:type="table" w:customStyle="1" w:styleId="ShadedTable1">
    <w:name w:val="Shaded Table1"/>
    <w:basedOn w:val="TableNormal"/>
    <w:uiPriority w:val="99"/>
    <w:rsid w:val="00FA51BA"/>
    <w:pPr>
      <w:spacing w:after="0" w:line="240" w:lineRule="auto"/>
    </w:pPr>
    <w:rPr>
      <w:color w:val="000000"/>
    </w:rPr>
    <w:tblPr>
      <w:tblBorders>
        <w:top w:val="single" w:sz="4" w:space="0" w:color="auto"/>
        <w:left w:val="single" w:sz="4" w:space="0" w:color="auto"/>
        <w:bottom w:val="single" w:sz="4" w:space="0" w:color="auto"/>
        <w:right w:val="single" w:sz="4" w:space="0" w:color="auto"/>
      </w:tblBorders>
    </w:tblPr>
    <w:tcPr>
      <w:shd w:val="clear" w:color="auto" w:fill="EEECE1" w:themeFill="background2"/>
    </w:tcPr>
  </w:style>
  <w:style w:type="paragraph" w:customStyle="1" w:styleId="IgnoredEmptysubclause">
    <w:name w:val="Ignored Empty subclause"/>
    <w:basedOn w:val="Normal"/>
    <w:link w:val="IgnoredEmptysubclauseChar"/>
    <w:qFormat/>
    <w:rsid w:val="00FA51BA"/>
    <w:rPr>
      <w:color w:val="000000"/>
    </w:rPr>
  </w:style>
  <w:style w:type="character" w:customStyle="1" w:styleId="IgnoredEmptysubclauseChar">
    <w:name w:val="Ignored Empty subclause Char"/>
    <w:basedOn w:val="DefaultParagraphFont"/>
    <w:link w:val="IgnoredEmptysubclause"/>
    <w:rsid w:val="00FA51BA"/>
    <w:rPr>
      <w:color w:val="000000"/>
    </w:rPr>
  </w:style>
  <w:style w:type="paragraph" w:customStyle="1" w:styleId="6B1115FCC3DC4C6AB2CF846F0C50B663">
    <w:name w:val="6B1115FCC3DC4C6AB2CF846F0C50B663"/>
    <w:rsid w:val="000A68CF"/>
    <w:pPr>
      <w:spacing w:line="276" w:lineRule="auto"/>
    </w:pPr>
    <w:rPr>
      <w:color w:val="000000"/>
    </w:rPr>
  </w:style>
  <w:style w:type="character" w:customStyle="1" w:styleId="UnresolvedMention1">
    <w:name w:val="Unresolved Mention1"/>
    <w:basedOn w:val="DefaultParagraphFont"/>
    <w:uiPriority w:val="99"/>
    <w:semiHidden/>
    <w:unhideWhenUsed/>
    <w:rsid w:val="00A36411"/>
    <w:rPr>
      <w:color w:val="000000"/>
      <w:shd w:val="clear" w:color="auto" w:fill="E1DFDD"/>
    </w:rPr>
  </w:style>
  <w:style w:type="paragraph" w:styleId="TOC1">
    <w:name w:val="toc 1"/>
    <w:next w:val="Normal"/>
    <w:autoRedefine/>
    <w:uiPriority w:val="39"/>
    <w:rsid w:val="00135F40"/>
    <w:pPr>
      <w:tabs>
        <w:tab w:val="left" w:leader="dot" w:pos="1418"/>
        <w:tab w:val="right" w:leader="dot" w:pos="9072"/>
      </w:tabs>
      <w:spacing w:after="0" w:line="300" w:lineRule="exact"/>
      <w:ind w:left="1418" w:hanging="567"/>
    </w:pPr>
    <w:rPr>
      <w:rFonts w:ascii="Arial" w:eastAsia="Times New Roman" w:hAnsi="Arial" w:cs="Times New Roman"/>
      <w:color w:val="000000" w:themeColor="text1"/>
      <w:sz w:val="20"/>
      <w:szCs w:val="20"/>
    </w:rPr>
  </w:style>
  <w:style w:type="paragraph" w:customStyle="1" w:styleId="Body">
    <w:name w:val="Body"/>
    <w:qFormat/>
    <w:rsid w:val="00135F40"/>
    <w:pPr>
      <w:spacing w:after="240" w:line="240" w:lineRule="auto"/>
      <w:jc w:val="both"/>
    </w:pPr>
    <w:rPr>
      <w:rFonts w:ascii="Arial" w:eastAsia="Times New Roman" w:hAnsi="Arial" w:cs="Times New Roman"/>
      <w:color w:val="000000" w:themeColor="text1"/>
      <w:sz w:val="20"/>
      <w:szCs w:val="20"/>
    </w:rPr>
  </w:style>
  <w:style w:type="paragraph" w:customStyle="1" w:styleId="Body1">
    <w:name w:val="Body 1"/>
    <w:qFormat/>
    <w:rsid w:val="00135F40"/>
    <w:pPr>
      <w:spacing w:after="240" w:line="240" w:lineRule="auto"/>
      <w:ind w:left="851"/>
      <w:jc w:val="both"/>
    </w:pPr>
    <w:rPr>
      <w:rFonts w:ascii="Arial" w:eastAsia="Times New Roman" w:hAnsi="Arial" w:cs="Times New Roman"/>
      <w:color w:val="000000" w:themeColor="text1"/>
      <w:sz w:val="20"/>
      <w:szCs w:val="20"/>
    </w:rPr>
  </w:style>
  <w:style w:type="paragraph" w:customStyle="1" w:styleId="Body2">
    <w:name w:val="Body 2"/>
    <w:qFormat/>
    <w:rsid w:val="00135F40"/>
    <w:pPr>
      <w:spacing w:after="240" w:line="240" w:lineRule="auto"/>
      <w:ind w:left="1701"/>
      <w:jc w:val="both"/>
    </w:pPr>
    <w:rPr>
      <w:rFonts w:ascii="Arial" w:eastAsia="Times New Roman" w:hAnsi="Arial" w:cs="Times New Roman"/>
      <w:color w:val="000000" w:themeColor="text1"/>
      <w:sz w:val="20"/>
      <w:szCs w:val="20"/>
    </w:rPr>
  </w:style>
  <w:style w:type="paragraph" w:customStyle="1" w:styleId="Body3">
    <w:name w:val="Body 3"/>
    <w:qFormat/>
    <w:rsid w:val="00135F40"/>
    <w:pPr>
      <w:spacing w:after="240" w:line="240" w:lineRule="auto"/>
      <w:ind w:left="2552"/>
      <w:jc w:val="both"/>
    </w:pPr>
    <w:rPr>
      <w:rFonts w:ascii="Arial" w:eastAsia="Times New Roman" w:hAnsi="Arial" w:cs="Times New Roman"/>
      <w:color w:val="000000" w:themeColor="text1"/>
      <w:sz w:val="20"/>
      <w:szCs w:val="20"/>
    </w:rPr>
  </w:style>
  <w:style w:type="paragraph" w:customStyle="1" w:styleId="Body4">
    <w:name w:val="Body 4"/>
    <w:qFormat/>
    <w:rsid w:val="00135F40"/>
    <w:pPr>
      <w:spacing w:after="240" w:line="240" w:lineRule="auto"/>
      <w:ind w:left="3402"/>
      <w:jc w:val="both"/>
    </w:pPr>
    <w:rPr>
      <w:rFonts w:ascii="Arial" w:eastAsia="Times New Roman" w:hAnsi="Arial" w:cs="Times New Roman"/>
      <w:color w:val="000000" w:themeColor="text1"/>
      <w:sz w:val="20"/>
      <w:szCs w:val="20"/>
    </w:rPr>
  </w:style>
  <w:style w:type="paragraph" w:customStyle="1" w:styleId="Body5">
    <w:name w:val="Body 5"/>
    <w:qFormat/>
    <w:rsid w:val="00135F40"/>
    <w:pPr>
      <w:spacing w:after="240" w:line="240" w:lineRule="auto"/>
      <w:ind w:left="4253"/>
      <w:jc w:val="both"/>
    </w:pPr>
    <w:rPr>
      <w:rFonts w:ascii="Arial" w:eastAsia="Times New Roman" w:hAnsi="Arial" w:cs="Times New Roman"/>
      <w:color w:val="000000" w:themeColor="text1"/>
      <w:sz w:val="20"/>
      <w:szCs w:val="20"/>
    </w:rPr>
  </w:style>
  <w:style w:type="paragraph" w:customStyle="1" w:styleId="BodyCentred">
    <w:name w:val="Body Centred"/>
    <w:next w:val="Body"/>
    <w:qFormat/>
    <w:rsid w:val="00135F40"/>
    <w:pPr>
      <w:spacing w:after="240" w:line="240" w:lineRule="auto"/>
      <w:jc w:val="center"/>
    </w:pPr>
    <w:rPr>
      <w:rFonts w:ascii="Arial" w:eastAsia="Times New Roman" w:hAnsi="Arial" w:cs="Times New Roman"/>
      <w:color w:val="000000" w:themeColor="text1"/>
      <w:sz w:val="20"/>
      <w:szCs w:val="20"/>
    </w:rPr>
  </w:style>
  <w:style w:type="paragraph" w:customStyle="1" w:styleId="BodyIndentedList">
    <w:name w:val="Body Indented List"/>
    <w:qFormat/>
    <w:rsid w:val="00135F40"/>
    <w:pPr>
      <w:spacing w:after="0" w:line="240" w:lineRule="auto"/>
      <w:ind w:left="851"/>
    </w:pPr>
    <w:rPr>
      <w:rFonts w:ascii="Arial" w:eastAsia="Times New Roman" w:hAnsi="Arial" w:cs="Times New Roman"/>
      <w:color w:val="000000" w:themeColor="text1"/>
      <w:sz w:val="20"/>
      <w:szCs w:val="20"/>
    </w:rPr>
  </w:style>
  <w:style w:type="paragraph" w:customStyle="1" w:styleId="BodyList">
    <w:name w:val="Body List"/>
    <w:qFormat/>
    <w:rsid w:val="00135F40"/>
    <w:pPr>
      <w:spacing w:after="0" w:line="240" w:lineRule="auto"/>
    </w:pPr>
    <w:rPr>
      <w:rFonts w:ascii="Arial" w:eastAsia="Times New Roman" w:hAnsi="Arial" w:cs="Times New Roman"/>
      <w:color w:val="000000" w:themeColor="text1"/>
      <w:sz w:val="20"/>
      <w:szCs w:val="20"/>
    </w:rPr>
  </w:style>
  <w:style w:type="paragraph" w:customStyle="1" w:styleId="BoldHeading">
    <w:name w:val="Bold Heading"/>
    <w:next w:val="Body"/>
    <w:qFormat/>
    <w:rsid w:val="00135F40"/>
    <w:pPr>
      <w:keepNext/>
      <w:spacing w:after="240" w:line="240" w:lineRule="auto"/>
      <w:jc w:val="both"/>
    </w:pPr>
    <w:rPr>
      <w:rFonts w:ascii="Arial" w:eastAsia="Times New Roman" w:hAnsi="Arial" w:cs="Times New Roman"/>
      <w:b/>
      <w:color w:val="000000" w:themeColor="text1"/>
      <w:sz w:val="20"/>
      <w:szCs w:val="20"/>
    </w:rPr>
  </w:style>
  <w:style w:type="paragraph" w:customStyle="1" w:styleId="Bullet1">
    <w:name w:val="Bullet 1"/>
    <w:uiPriority w:val="1"/>
    <w:rsid w:val="00135F40"/>
    <w:pPr>
      <w:numPr>
        <w:numId w:val="18"/>
      </w:numPr>
      <w:spacing w:after="240" w:line="240" w:lineRule="auto"/>
      <w:jc w:val="both"/>
    </w:pPr>
    <w:rPr>
      <w:rFonts w:ascii="Arial" w:eastAsia="Times New Roman" w:hAnsi="Arial" w:cs="Times New Roman"/>
      <w:color w:val="000000" w:themeColor="text1"/>
      <w:sz w:val="20"/>
      <w:szCs w:val="20"/>
    </w:rPr>
  </w:style>
  <w:style w:type="paragraph" w:customStyle="1" w:styleId="Bullet2">
    <w:name w:val="Bullet 2"/>
    <w:uiPriority w:val="1"/>
    <w:rsid w:val="00135F40"/>
    <w:pPr>
      <w:numPr>
        <w:ilvl w:val="1"/>
        <w:numId w:val="18"/>
      </w:numPr>
      <w:spacing w:after="240" w:line="240" w:lineRule="auto"/>
      <w:jc w:val="both"/>
    </w:pPr>
    <w:rPr>
      <w:rFonts w:ascii="Arial" w:eastAsia="Times New Roman" w:hAnsi="Arial" w:cs="Times New Roman"/>
      <w:color w:val="000000" w:themeColor="text1"/>
      <w:sz w:val="20"/>
      <w:szCs w:val="20"/>
    </w:rPr>
  </w:style>
  <w:style w:type="paragraph" w:customStyle="1" w:styleId="Bullet3">
    <w:name w:val="Bullet 3"/>
    <w:uiPriority w:val="1"/>
    <w:rsid w:val="00135F40"/>
    <w:pPr>
      <w:numPr>
        <w:ilvl w:val="2"/>
        <w:numId w:val="18"/>
      </w:numPr>
      <w:spacing w:after="240" w:line="240" w:lineRule="auto"/>
      <w:jc w:val="both"/>
    </w:pPr>
    <w:rPr>
      <w:rFonts w:ascii="Arial" w:eastAsia="Times New Roman" w:hAnsi="Arial" w:cs="Times New Roman"/>
      <w:color w:val="000000" w:themeColor="text1"/>
      <w:sz w:val="20"/>
      <w:szCs w:val="20"/>
    </w:rPr>
  </w:style>
  <w:style w:type="paragraph" w:customStyle="1" w:styleId="ContentsHeading">
    <w:name w:val="Contents Heading"/>
    <w:next w:val="Body"/>
    <w:qFormat/>
    <w:rsid w:val="00135F40"/>
    <w:pPr>
      <w:spacing w:after="240" w:line="240" w:lineRule="auto"/>
      <w:ind w:left="851"/>
    </w:pPr>
    <w:rPr>
      <w:rFonts w:ascii="Arial" w:eastAsia="Times New Roman" w:hAnsi="Arial" w:cs="Times New Roman"/>
      <w:b/>
      <w:caps/>
      <w:color w:val="000000" w:themeColor="text1"/>
      <w:sz w:val="20"/>
      <w:szCs w:val="20"/>
    </w:rPr>
  </w:style>
  <w:style w:type="paragraph" w:customStyle="1" w:styleId="Definition">
    <w:name w:val="Definition"/>
    <w:rsid w:val="00135F40"/>
    <w:pPr>
      <w:numPr>
        <w:numId w:val="20"/>
      </w:numPr>
      <w:spacing w:after="240" w:line="240" w:lineRule="auto"/>
      <w:jc w:val="both"/>
    </w:pPr>
    <w:rPr>
      <w:rFonts w:ascii="Arial" w:eastAsia="Times New Roman" w:hAnsi="Arial" w:cs="Times New Roman"/>
      <w:color w:val="000000" w:themeColor="text1"/>
      <w:sz w:val="20"/>
      <w:szCs w:val="20"/>
    </w:rPr>
  </w:style>
  <w:style w:type="paragraph" w:customStyle="1" w:styleId="Definitiona">
    <w:name w:val="Definition (a)"/>
    <w:uiPriority w:val="1"/>
    <w:rsid w:val="00135F40"/>
    <w:pPr>
      <w:numPr>
        <w:ilvl w:val="1"/>
        <w:numId w:val="20"/>
      </w:numPr>
      <w:spacing w:after="240" w:line="240" w:lineRule="auto"/>
      <w:jc w:val="both"/>
    </w:pPr>
    <w:rPr>
      <w:rFonts w:ascii="Arial" w:eastAsia="Times New Roman" w:hAnsi="Arial" w:cs="Times New Roman"/>
      <w:color w:val="000000" w:themeColor="text1"/>
      <w:sz w:val="20"/>
      <w:szCs w:val="20"/>
    </w:rPr>
  </w:style>
  <w:style w:type="paragraph" w:customStyle="1" w:styleId="Definitioni">
    <w:name w:val="Definition (i)"/>
    <w:uiPriority w:val="1"/>
    <w:rsid w:val="00135F40"/>
    <w:pPr>
      <w:numPr>
        <w:ilvl w:val="2"/>
        <w:numId w:val="20"/>
      </w:numPr>
      <w:spacing w:after="240" w:line="240" w:lineRule="auto"/>
      <w:jc w:val="both"/>
    </w:pPr>
    <w:rPr>
      <w:rFonts w:ascii="Arial" w:eastAsia="Times New Roman" w:hAnsi="Arial" w:cs="Times New Roman"/>
      <w:color w:val="000000" w:themeColor="text1"/>
      <w:sz w:val="20"/>
      <w:szCs w:val="20"/>
    </w:rPr>
  </w:style>
  <w:style w:type="character" w:styleId="FootnoteReference">
    <w:name w:val="footnote reference"/>
    <w:basedOn w:val="DefaultParagraphFont"/>
    <w:uiPriority w:val="1"/>
    <w:rsid w:val="00135F40"/>
    <w:rPr>
      <w:vertAlign w:val="superscript"/>
    </w:rPr>
  </w:style>
  <w:style w:type="paragraph" w:styleId="FootnoteText">
    <w:name w:val="footnote text"/>
    <w:link w:val="FootnoteTextChar"/>
    <w:uiPriority w:val="1"/>
    <w:rsid w:val="00135F40"/>
    <w:pPr>
      <w:spacing w:after="0" w:line="240" w:lineRule="auto"/>
      <w:jc w:val="both"/>
    </w:pPr>
    <w:rPr>
      <w:rFonts w:ascii="Arial" w:eastAsia="Times New Roman" w:hAnsi="Arial" w:cs="Times New Roman"/>
      <w:color w:val="000000" w:themeColor="text1"/>
      <w:sz w:val="18"/>
      <w:szCs w:val="20"/>
    </w:rPr>
  </w:style>
  <w:style w:type="character" w:customStyle="1" w:styleId="FootnoteTextChar">
    <w:name w:val="Footnote Text Char"/>
    <w:basedOn w:val="DefaultParagraphFont"/>
    <w:link w:val="FootnoteText"/>
    <w:uiPriority w:val="1"/>
    <w:rsid w:val="00135F40"/>
    <w:rPr>
      <w:rFonts w:ascii="Arial" w:eastAsia="Times New Roman" w:hAnsi="Arial" w:cs="Times New Roman"/>
      <w:color w:val="000000" w:themeColor="text1"/>
      <w:sz w:val="18"/>
      <w:szCs w:val="20"/>
    </w:rPr>
  </w:style>
  <w:style w:type="paragraph" w:customStyle="1" w:styleId="Level1">
    <w:name w:val="Level 1"/>
    <w:uiPriority w:val="1"/>
    <w:qFormat/>
    <w:rsid w:val="00135F40"/>
    <w:pPr>
      <w:numPr>
        <w:ilvl w:val="2"/>
        <w:numId w:val="22"/>
      </w:numPr>
      <w:spacing w:after="240" w:line="240" w:lineRule="auto"/>
      <w:jc w:val="both"/>
      <w:outlineLvl w:val="2"/>
    </w:pPr>
    <w:rPr>
      <w:rFonts w:ascii="Arial" w:eastAsia="Times New Roman" w:hAnsi="Arial" w:cs="Times New Roman"/>
      <w:color w:val="000000" w:themeColor="text1"/>
      <w:sz w:val="20"/>
      <w:szCs w:val="20"/>
    </w:rPr>
  </w:style>
  <w:style w:type="paragraph" w:customStyle="1" w:styleId="Level2">
    <w:name w:val="Level 2"/>
    <w:uiPriority w:val="1"/>
    <w:qFormat/>
    <w:rsid w:val="00135F40"/>
    <w:pPr>
      <w:numPr>
        <w:ilvl w:val="3"/>
        <w:numId w:val="22"/>
      </w:numPr>
      <w:spacing w:after="240" w:line="240" w:lineRule="auto"/>
      <w:jc w:val="both"/>
      <w:outlineLvl w:val="3"/>
    </w:pPr>
    <w:rPr>
      <w:rFonts w:ascii="Arial" w:eastAsia="Times New Roman" w:hAnsi="Arial" w:cs="Times New Roman"/>
      <w:color w:val="000000" w:themeColor="text1"/>
      <w:sz w:val="20"/>
      <w:szCs w:val="20"/>
    </w:rPr>
  </w:style>
  <w:style w:type="paragraph" w:customStyle="1" w:styleId="Level3">
    <w:name w:val="Level 3"/>
    <w:uiPriority w:val="1"/>
    <w:qFormat/>
    <w:rsid w:val="00135F40"/>
    <w:pPr>
      <w:numPr>
        <w:ilvl w:val="4"/>
        <w:numId w:val="22"/>
      </w:numPr>
      <w:spacing w:after="240" w:line="240" w:lineRule="auto"/>
      <w:jc w:val="both"/>
      <w:outlineLvl w:val="4"/>
    </w:pPr>
    <w:rPr>
      <w:rFonts w:ascii="Arial" w:eastAsia="Times New Roman" w:hAnsi="Arial" w:cs="Times New Roman"/>
      <w:color w:val="000000" w:themeColor="text1"/>
      <w:sz w:val="20"/>
      <w:szCs w:val="20"/>
    </w:rPr>
  </w:style>
  <w:style w:type="paragraph" w:customStyle="1" w:styleId="Level4">
    <w:name w:val="Level 4"/>
    <w:uiPriority w:val="1"/>
    <w:qFormat/>
    <w:rsid w:val="00135F40"/>
    <w:pPr>
      <w:numPr>
        <w:ilvl w:val="5"/>
        <w:numId w:val="22"/>
      </w:numPr>
      <w:spacing w:after="240" w:line="240" w:lineRule="auto"/>
      <w:jc w:val="both"/>
      <w:outlineLvl w:val="5"/>
    </w:pPr>
    <w:rPr>
      <w:rFonts w:ascii="Arial" w:eastAsia="Times New Roman" w:hAnsi="Arial" w:cs="Times New Roman"/>
      <w:color w:val="000000" w:themeColor="text1"/>
      <w:sz w:val="20"/>
      <w:szCs w:val="20"/>
    </w:rPr>
  </w:style>
  <w:style w:type="paragraph" w:customStyle="1" w:styleId="Level5">
    <w:name w:val="Level 5"/>
    <w:uiPriority w:val="1"/>
    <w:qFormat/>
    <w:rsid w:val="00135F40"/>
    <w:pPr>
      <w:numPr>
        <w:ilvl w:val="6"/>
        <w:numId w:val="22"/>
      </w:numPr>
      <w:spacing w:after="240" w:line="240" w:lineRule="auto"/>
      <w:jc w:val="both"/>
      <w:outlineLvl w:val="6"/>
    </w:pPr>
    <w:rPr>
      <w:rFonts w:ascii="Arial" w:eastAsia="Times New Roman" w:hAnsi="Arial" w:cs="Times New Roman"/>
      <w:color w:val="000000" w:themeColor="text1"/>
      <w:sz w:val="20"/>
      <w:szCs w:val="20"/>
    </w:rPr>
  </w:style>
  <w:style w:type="paragraph" w:customStyle="1" w:styleId="Level6">
    <w:name w:val="Level 6"/>
    <w:uiPriority w:val="1"/>
    <w:qFormat/>
    <w:rsid w:val="00135F40"/>
    <w:pPr>
      <w:numPr>
        <w:ilvl w:val="7"/>
        <w:numId w:val="22"/>
      </w:numPr>
      <w:spacing w:after="240" w:line="240" w:lineRule="auto"/>
      <w:jc w:val="both"/>
      <w:outlineLvl w:val="7"/>
    </w:pPr>
    <w:rPr>
      <w:rFonts w:ascii="Arial" w:eastAsia="Times New Roman" w:hAnsi="Arial" w:cs="Times New Roman"/>
      <w:color w:val="000000" w:themeColor="text1"/>
      <w:sz w:val="20"/>
      <w:szCs w:val="20"/>
    </w:rPr>
  </w:style>
  <w:style w:type="paragraph" w:customStyle="1" w:styleId="MainHeading">
    <w:name w:val="Main Heading"/>
    <w:next w:val="Body"/>
    <w:link w:val="MainHeadingChar"/>
    <w:qFormat/>
    <w:rsid w:val="00135F40"/>
    <w:pPr>
      <w:keepNext/>
      <w:tabs>
        <w:tab w:val="right" w:pos="9072"/>
      </w:tabs>
      <w:spacing w:after="240" w:line="240" w:lineRule="auto"/>
      <w:ind w:left="851"/>
    </w:pPr>
    <w:rPr>
      <w:rFonts w:ascii="Arial" w:eastAsia="Times New Roman" w:hAnsi="Arial" w:cs="Times New Roman"/>
      <w:caps/>
      <w:color w:val="000000" w:themeColor="text1"/>
      <w:sz w:val="20"/>
      <w:szCs w:val="20"/>
    </w:rPr>
  </w:style>
  <w:style w:type="character" w:styleId="PageNumber">
    <w:name w:val="page number"/>
    <w:basedOn w:val="DefaultParagraphFont"/>
    <w:uiPriority w:val="1"/>
    <w:rsid w:val="00135F40"/>
    <w:rPr>
      <w:rFonts w:ascii="Arial" w:hAnsi="Arial" w:cs="Times New Roman"/>
      <w:sz w:val="20"/>
    </w:rPr>
  </w:style>
  <w:style w:type="paragraph" w:customStyle="1" w:styleId="PartHeading">
    <w:name w:val="Part Heading"/>
    <w:next w:val="Body"/>
    <w:uiPriority w:val="1"/>
    <w:rsid w:val="00135F40"/>
    <w:pPr>
      <w:numPr>
        <w:ilvl w:val="1"/>
        <w:numId w:val="22"/>
      </w:numPr>
      <w:spacing w:after="240" w:line="240" w:lineRule="auto"/>
      <w:jc w:val="center"/>
      <w:outlineLvl w:val="1"/>
    </w:pPr>
    <w:rPr>
      <w:rFonts w:ascii="Arial" w:eastAsia="Times New Roman" w:hAnsi="Arial" w:cs="Times New Roman"/>
      <w:b/>
      <w:color w:val="000000" w:themeColor="text1"/>
      <w:sz w:val="20"/>
      <w:szCs w:val="20"/>
    </w:rPr>
  </w:style>
  <w:style w:type="paragraph" w:customStyle="1" w:styleId="PartSubHeading">
    <w:name w:val="Part Sub Heading"/>
    <w:next w:val="Body"/>
    <w:qFormat/>
    <w:rsid w:val="00135F40"/>
    <w:pPr>
      <w:spacing w:after="240" w:line="240" w:lineRule="auto"/>
      <w:jc w:val="center"/>
    </w:pPr>
    <w:rPr>
      <w:rFonts w:ascii="Arial" w:eastAsia="Times New Roman" w:hAnsi="Arial" w:cs="Times New Roman"/>
      <w:b/>
      <w:color w:val="000000" w:themeColor="text1"/>
      <w:sz w:val="20"/>
      <w:szCs w:val="20"/>
    </w:rPr>
  </w:style>
  <w:style w:type="paragraph" w:customStyle="1" w:styleId="ScheduleSubHeading">
    <w:name w:val="Schedule Sub Heading"/>
    <w:next w:val="Body"/>
    <w:uiPriority w:val="1"/>
    <w:rsid w:val="00135F40"/>
    <w:pPr>
      <w:keepNext/>
      <w:numPr>
        <w:ilvl w:val="1"/>
        <w:numId w:val="26"/>
      </w:numPr>
      <w:spacing w:after="240" w:line="240" w:lineRule="auto"/>
      <w:jc w:val="center"/>
    </w:pPr>
    <w:rPr>
      <w:rFonts w:ascii="Arial" w:eastAsia="Times New Roman" w:hAnsi="Arial" w:cs="Times New Roman"/>
      <w:b/>
      <w:color w:val="000000" w:themeColor="text1"/>
      <w:sz w:val="20"/>
      <w:szCs w:val="20"/>
    </w:rPr>
  </w:style>
  <w:style w:type="paragraph" w:customStyle="1" w:styleId="SubHeading">
    <w:name w:val="Sub Heading"/>
    <w:next w:val="Body1"/>
    <w:qFormat/>
    <w:rsid w:val="00135F40"/>
    <w:pPr>
      <w:keepNext/>
      <w:spacing w:after="240" w:line="240" w:lineRule="auto"/>
      <w:ind w:left="851"/>
      <w:jc w:val="both"/>
    </w:pPr>
    <w:rPr>
      <w:rFonts w:ascii="Arial" w:eastAsia="Times New Roman" w:hAnsi="Arial" w:cs="Times New Roman"/>
      <w:i/>
      <w:color w:val="000000" w:themeColor="text1"/>
      <w:sz w:val="20"/>
      <w:szCs w:val="20"/>
    </w:rPr>
  </w:style>
  <w:style w:type="paragraph" w:styleId="TOC2">
    <w:name w:val="toc 2"/>
    <w:next w:val="Normal"/>
    <w:autoRedefine/>
    <w:uiPriority w:val="39"/>
    <w:rsid w:val="00135F40"/>
    <w:pPr>
      <w:tabs>
        <w:tab w:val="right" w:leader="dot" w:pos="9072"/>
      </w:tabs>
      <w:spacing w:after="0" w:line="300" w:lineRule="exact"/>
      <w:ind w:left="1418"/>
    </w:pPr>
    <w:rPr>
      <w:rFonts w:ascii="Arial" w:eastAsia="Times New Roman" w:hAnsi="Arial" w:cs="Times New Roman"/>
      <w:color w:val="000000" w:themeColor="text1"/>
      <w:sz w:val="20"/>
      <w:szCs w:val="20"/>
    </w:rPr>
  </w:style>
  <w:style w:type="paragraph" w:customStyle="1" w:styleId="LevelHeading1">
    <w:name w:val="Level Heading 1"/>
    <w:basedOn w:val="Level1"/>
    <w:next w:val="Body1"/>
    <w:uiPriority w:val="1"/>
    <w:qFormat/>
    <w:rsid w:val="00135F40"/>
    <w:pPr>
      <w:keepNext/>
    </w:pPr>
    <w:rPr>
      <w:b/>
    </w:rPr>
  </w:style>
  <w:style w:type="paragraph" w:customStyle="1" w:styleId="AnnexureSubHeading">
    <w:name w:val="Annexure Sub Heading"/>
    <w:next w:val="Body"/>
    <w:uiPriority w:val="1"/>
    <w:rsid w:val="00135F40"/>
    <w:pPr>
      <w:numPr>
        <w:ilvl w:val="1"/>
        <w:numId w:val="27"/>
      </w:numPr>
      <w:spacing w:after="240" w:line="240" w:lineRule="auto"/>
      <w:jc w:val="center"/>
    </w:pPr>
    <w:rPr>
      <w:rFonts w:ascii="Arial" w:eastAsia="Times New Roman" w:hAnsi="Arial" w:cs="Times New Roman"/>
      <w:b/>
      <w:color w:val="000000" w:themeColor="text1"/>
      <w:sz w:val="20"/>
      <w:szCs w:val="20"/>
    </w:rPr>
  </w:style>
  <w:style w:type="paragraph" w:customStyle="1" w:styleId="Annexure">
    <w:name w:val="Annexure"/>
    <w:next w:val="Body"/>
    <w:uiPriority w:val="1"/>
    <w:rsid w:val="00135F40"/>
    <w:pPr>
      <w:pageBreakBefore/>
      <w:numPr>
        <w:numId w:val="25"/>
      </w:numPr>
      <w:spacing w:after="240" w:line="240" w:lineRule="auto"/>
      <w:jc w:val="center"/>
    </w:pPr>
    <w:rPr>
      <w:rFonts w:ascii="Arial" w:eastAsia="Times New Roman" w:hAnsi="Arial" w:cs="Times New Roman"/>
      <w:b/>
      <w:color w:val="000000" w:themeColor="text1"/>
      <w:sz w:val="20"/>
      <w:szCs w:val="20"/>
    </w:rPr>
  </w:style>
  <w:style w:type="paragraph" w:customStyle="1" w:styleId="Bullet4">
    <w:name w:val="Bullet 4"/>
    <w:uiPriority w:val="1"/>
    <w:rsid w:val="00135F40"/>
    <w:pPr>
      <w:numPr>
        <w:ilvl w:val="3"/>
        <w:numId w:val="18"/>
      </w:numPr>
      <w:spacing w:after="240" w:line="240" w:lineRule="auto"/>
    </w:pPr>
    <w:rPr>
      <w:rFonts w:ascii="Arial" w:eastAsiaTheme="minorHAnsi" w:hAnsi="Arial" w:cs="Arial"/>
      <w:sz w:val="20"/>
      <w:szCs w:val="20"/>
      <w:lang w:eastAsia="en-US"/>
    </w:rPr>
  </w:style>
  <w:style w:type="paragraph" w:customStyle="1" w:styleId="Bullet5">
    <w:name w:val="Bullet 5"/>
    <w:uiPriority w:val="1"/>
    <w:rsid w:val="00135F40"/>
    <w:pPr>
      <w:numPr>
        <w:ilvl w:val="4"/>
        <w:numId w:val="18"/>
      </w:numPr>
      <w:spacing w:after="240" w:line="240" w:lineRule="auto"/>
    </w:pPr>
    <w:rPr>
      <w:rFonts w:ascii="Arial" w:eastAsiaTheme="minorHAnsi" w:hAnsi="Arial" w:cs="Arial"/>
      <w:sz w:val="20"/>
      <w:szCs w:val="20"/>
      <w:lang w:eastAsia="en-US"/>
    </w:rPr>
  </w:style>
  <w:style w:type="paragraph" w:customStyle="1" w:styleId="Bullet6">
    <w:name w:val="Bullet 6"/>
    <w:uiPriority w:val="1"/>
    <w:rsid w:val="00135F40"/>
    <w:pPr>
      <w:numPr>
        <w:ilvl w:val="5"/>
        <w:numId w:val="18"/>
      </w:numPr>
      <w:spacing w:after="240" w:line="240" w:lineRule="auto"/>
    </w:pPr>
    <w:rPr>
      <w:rFonts w:ascii="Arial" w:eastAsiaTheme="minorHAnsi" w:hAnsi="Arial" w:cs="Arial"/>
      <w:sz w:val="20"/>
      <w:szCs w:val="20"/>
      <w:lang w:eastAsia="en-US"/>
    </w:rPr>
  </w:style>
  <w:style w:type="paragraph" w:customStyle="1" w:styleId="BulletList4">
    <w:name w:val="Bullet List 4"/>
    <w:uiPriority w:val="1"/>
    <w:rsid w:val="00135F40"/>
    <w:pPr>
      <w:numPr>
        <w:ilvl w:val="3"/>
        <w:numId w:val="19"/>
      </w:numPr>
      <w:spacing w:after="0" w:line="240" w:lineRule="auto"/>
    </w:pPr>
    <w:rPr>
      <w:rFonts w:ascii="Arial" w:eastAsiaTheme="minorHAnsi" w:hAnsi="Arial" w:cs="Arial"/>
      <w:sz w:val="20"/>
      <w:szCs w:val="20"/>
      <w:lang w:eastAsia="en-US"/>
    </w:rPr>
  </w:style>
  <w:style w:type="paragraph" w:customStyle="1" w:styleId="BulletList5">
    <w:name w:val="Bullet List 5"/>
    <w:uiPriority w:val="1"/>
    <w:rsid w:val="00135F40"/>
    <w:pPr>
      <w:numPr>
        <w:ilvl w:val="4"/>
        <w:numId w:val="19"/>
      </w:numPr>
      <w:spacing w:after="0" w:line="240" w:lineRule="auto"/>
    </w:pPr>
    <w:rPr>
      <w:rFonts w:ascii="Arial" w:eastAsiaTheme="minorHAnsi" w:hAnsi="Arial" w:cs="Arial"/>
      <w:sz w:val="20"/>
      <w:szCs w:val="20"/>
      <w:lang w:eastAsia="en-US"/>
    </w:rPr>
  </w:style>
  <w:style w:type="paragraph" w:customStyle="1" w:styleId="BulletList6">
    <w:name w:val="Bullet List 6"/>
    <w:uiPriority w:val="1"/>
    <w:rsid w:val="00135F40"/>
    <w:pPr>
      <w:numPr>
        <w:ilvl w:val="5"/>
        <w:numId w:val="19"/>
      </w:numPr>
      <w:spacing w:after="0" w:line="240" w:lineRule="auto"/>
    </w:pPr>
    <w:rPr>
      <w:rFonts w:ascii="Arial" w:eastAsiaTheme="minorHAnsi" w:hAnsi="Arial" w:cs="Arial"/>
      <w:sz w:val="20"/>
      <w:szCs w:val="20"/>
      <w:lang w:eastAsia="en-US"/>
    </w:rPr>
  </w:style>
  <w:style w:type="character" w:customStyle="1" w:styleId="MainHeadingChar">
    <w:name w:val="Main Heading Char"/>
    <w:basedOn w:val="DefaultParagraphFont"/>
    <w:link w:val="MainHeading"/>
    <w:rsid w:val="00135F40"/>
    <w:rPr>
      <w:rFonts w:ascii="Arial" w:eastAsia="Times New Roman" w:hAnsi="Arial" w:cs="Times New Roman"/>
      <w:caps/>
      <w:color w:val="000000" w:themeColor="text1"/>
      <w:sz w:val="20"/>
      <w:szCs w:val="20"/>
    </w:rPr>
  </w:style>
  <w:style w:type="paragraph" w:customStyle="1" w:styleId="ScheduleHeadingSingle">
    <w:name w:val="Schedule Heading Single"/>
    <w:next w:val="Body"/>
    <w:uiPriority w:val="1"/>
    <w:rsid w:val="00135F40"/>
    <w:pPr>
      <w:keepNext/>
      <w:pageBreakBefore/>
      <w:numPr>
        <w:numId w:val="26"/>
      </w:numPr>
      <w:spacing w:after="240" w:line="240" w:lineRule="auto"/>
      <w:jc w:val="center"/>
    </w:pPr>
    <w:rPr>
      <w:rFonts w:ascii="Arial" w:eastAsiaTheme="minorHAnsi" w:hAnsi="Arial" w:cs="Arial"/>
      <w:b/>
      <w:sz w:val="20"/>
      <w:szCs w:val="20"/>
      <w:lang w:eastAsia="en-US"/>
    </w:rPr>
  </w:style>
  <w:style w:type="paragraph" w:customStyle="1" w:styleId="AnnexureHeadingSingle">
    <w:name w:val="Annexure Heading Single"/>
    <w:next w:val="Body"/>
    <w:qFormat/>
    <w:rsid w:val="00135F40"/>
    <w:pPr>
      <w:pageBreakBefore/>
      <w:numPr>
        <w:numId w:val="27"/>
      </w:numPr>
      <w:spacing w:after="240" w:line="240" w:lineRule="auto"/>
      <w:jc w:val="center"/>
    </w:pPr>
    <w:rPr>
      <w:rFonts w:ascii="Arial" w:eastAsiaTheme="minorHAnsi" w:hAnsi="Arial" w:cs="Arial"/>
      <w:b/>
      <w:color w:val="000000" w:themeColor="text1"/>
      <w:sz w:val="20"/>
      <w:szCs w:val="20"/>
      <w:lang w:eastAsia="en-US"/>
    </w:rPr>
  </w:style>
  <w:style w:type="paragraph" w:styleId="TOC3">
    <w:name w:val="toc 3"/>
    <w:basedOn w:val="Normal"/>
    <w:next w:val="Normal"/>
    <w:autoRedefine/>
    <w:uiPriority w:val="39"/>
    <w:unhideWhenUsed/>
    <w:rsid w:val="00135F40"/>
    <w:pPr>
      <w:spacing w:after="100"/>
      <w:ind w:left="400"/>
      <w:jc w:val="both"/>
    </w:pPr>
  </w:style>
  <w:style w:type="paragraph" w:styleId="TOC4">
    <w:name w:val="toc 4"/>
    <w:basedOn w:val="Normal"/>
    <w:next w:val="Normal"/>
    <w:autoRedefine/>
    <w:uiPriority w:val="39"/>
    <w:semiHidden/>
    <w:unhideWhenUsed/>
    <w:rsid w:val="00135F40"/>
    <w:pPr>
      <w:spacing w:after="100"/>
      <w:ind w:left="600"/>
      <w:jc w:val="both"/>
    </w:pPr>
  </w:style>
  <w:style w:type="paragraph" w:styleId="TOC5">
    <w:name w:val="toc 5"/>
    <w:basedOn w:val="Normal"/>
    <w:next w:val="Normal"/>
    <w:autoRedefine/>
    <w:uiPriority w:val="39"/>
    <w:semiHidden/>
    <w:unhideWhenUsed/>
    <w:rsid w:val="00135F40"/>
    <w:pPr>
      <w:spacing w:after="100"/>
      <w:ind w:left="800"/>
      <w:jc w:val="both"/>
    </w:pPr>
  </w:style>
  <w:style w:type="paragraph" w:styleId="TOC6">
    <w:name w:val="toc 6"/>
    <w:basedOn w:val="Normal"/>
    <w:next w:val="Normal"/>
    <w:autoRedefine/>
    <w:uiPriority w:val="39"/>
    <w:semiHidden/>
    <w:unhideWhenUsed/>
    <w:rsid w:val="00135F40"/>
    <w:pPr>
      <w:spacing w:after="100"/>
      <w:ind w:left="1000"/>
      <w:jc w:val="both"/>
    </w:pPr>
  </w:style>
  <w:style w:type="paragraph" w:styleId="TOC7">
    <w:name w:val="toc 7"/>
    <w:basedOn w:val="Normal"/>
    <w:next w:val="Normal"/>
    <w:autoRedefine/>
    <w:uiPriority w:val="39"/>
    <w:semiHidden/>
    <w:unhideWhenUsed/>
    <w:rsid w:val="00135F40"/>
    <w:pPr>
      <w:spacing w:after="100"/>
      <w:ind w:left="1200"/>
      <w:jc w:val="both"/>
    </w:pPr>
  </w:style>
  <w:style w:type="paragraph" w:styleId="TOC8">
    <w:name w:val="toc 8"/>
    <w:basedOn w:val="Normal"/>
    <w:next w:val="Normal"/>
    <w:autoRedefine/>
    <w:uiPriority w:val="39"/>
    <w:semiHidden/>
    <w:unhideWhenUsed/>
    <w:rsid w:val="00135F40"/>
    <w:pPr>
      <w:spacing w:after="100"/>
      <w:ind w:left="1400"/>
      <w:jc w:val="both"/>
    </w:pPr>
  </w:style>
  <w:style w:type="paragraph" w:styleId="TOC9">
    <w:name w:val="toc 9"/>
    <w:basedOn w:val="Normal"/>
    <w:next w:val="Normal"/>
    <w:autoRedefine/>
    <w:uiPriority w:val="39"/>
    <w:semiHidden/>
    <w:unhideWhenUsed/>
    <w:rsid w:val="00135F40"/>
    <w:pPr>
      <w:spacing w:after="100"/>
      <w:ind w:left="1600"/>
      <w:jc w:val="both"/>
    </w:pPr>
  </w:style>
  <w:style w:type="paragraph" w:styleId="TOCHeading">
    <w:name w:val="TOC Heading"/>
    <w:basedOn w:val="Heading1"/>
    <w:next w:val="Normal"/>
    <w:uiPriority w:val="39"/>
    <w:semiHidden/>
    <w:unhideWhenUsed/>
    <w:qFormat/>
    <w:rsid w:val="00135F40"/>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sz w:val="28"/>
      <w:szCs w:val="28"/>
      <w:lang w:val="en-US" w:eastAsia="ja-JP"/>
    </w:rPr>
  </w:style>
  <w:style w:type="numbering" w:styleId="111111">
    <w:name w:val="Outline List 2"/>
    <w:basedOn w:val="NoList"/>
    <w:uiPriority w:val="99"/>
    <w:semiHidden/>
    <w:unhideWhenUsed/>
    <w:rsid w:val="00135F40"/>
    <w:pPr>
      <w:numPr>
        <w:numId w:val="28"/>
      </w:numPr>
    </w:pPr>
  </w:style>
  <w:style w:type="character" w:styleId="CommentReference">
    <w:name w:val="annotation reference"/>
    <w:basedOn w:val="DefaultParagraphFont"/>
    <w:uiPriority w:val="99"/>
    <w:semiHidden/>
    <w:unhideWhenUsed/>
    <w:rsid w:val="001E27A6"/>
    <w:rPr>
      <w:sz w:val="16"/>
      <w:szCs w:val="16"/>
    </w:rPr>
  </w:style>
  <w:style w:type="paragraph" w:styleId="CommentText">
    <w:name w:val="annotation text"/>
    <w:basedOn w:val="Normal"/>
    <w:link w:val="CommentTextChar"/>
    <w:uiPriority w:val="99"/>
    <w:unhideWhenUsed/>
    <w:rsid w:val="001E27A6"/>
  </w:style>
  <w:style w:type="character" w:customStyle="1" w:styleId="CommentTextChar">
    <w:name w:val="Comment Text Char"/>
    <w:basedOn w:val="DefaultParagraphFont"/>
    <w:link w:val="CommentText"/>
    <w:uiPriority w:val="99"/>
    <w:rsid w:val="001E27A6"/>
    <w:rPr>
      <w:rFonts w:ascii="Arial" w:eastAsiaTheme="minorHAnsi" w:hAnsi="Arial" w:cs="Arial"/>
      <w:sz w:val="20"/>
      <w:szCs w:val="20"/>
      <w:lang w:eastAsia="en-US"/>
    </w:rPr>
  </w:style>
  <w:style w:type="paragraph" w:styleId="CommentSubject">
    <w:name w:val="annotation subject"/>
    <w:basedOn w:val="CommentText"/>
    <w:next w:val="CommentText"/>
    <w:link w:val="CommentSubjectChar"/>
    <w:uiPriority w:val="99"/>
    <w:semiHidden/>
    <w:unhideWhenUsed/>
    <w:rsid w:val="001E27A6"/>
    <w:rPr>
      <w:b/>
      <w:bCs/>
    </w:rPr>
  </w:style>
  <w:style w:type="character" w:customStyle="1" w:styleId="CommentSubjectChar">
    <w:name w:val="Comment Subject Char"/>
    <w:basedOn w:val="CommentTextChar"/>
    <w:link w:val="CommentSubject"/>
    <w:uiPriority w:val="99"/>
    <w:semiHidden/>
    <w:rsid w:val="001E27A6"/>
    <w:rPr>
      <w:rFonts w:ascii="Arial" w:eastAsiaTheme="minorHAnsi" w:hAnsi="Arial" w:cs="Arial"/>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dm:cachedDataManifest xmlns:cdm="http://schemas.microsoft.com/2004/VisualStudio/Tools/Applications/CachedDataManifest.xsd" cdm:revision="1"/>
</file>

<file path=customXml/item4.xml><?xml version="1.0" encoding="utf-8"?>
<ct:contentTypeSchema xmlns:ct="http://schemas.microsoft.com/office/2006/metadata/contentType" xmlns:ma="http://schemas.microsoft.com/office/2006/metadata/properties/metaAttributes" ct:_="" ma:_="" ma:contentTypeName="Document" ma:contentTypeID="0x010100F790A929052E754EB59DEE571327065E" ma:contentTypeVersion="13" ma:contentTypeDescription="Create a new document." ma:contentTypeScope="" ma:versionID="5ea5d68ff515562f2f77b0b9768d96fd">
  <xsd:schema xmlns:xsd="http://www.w3.org/2001/XMLSchema" xmlns:xs="http://www.w3.org/2001/XMLSchema" xmlns:p="http://schemas.microsoft.com/office/2006/metadata/properties" xmlns:ns2="5c065345-6080-4ae7-8c42-1639e8cfe524" xmlns:ns3="8973ee20-489b-48f3-bb52-c7475adb1348" targetNamespace="http://schemas.microsoft.com/office/2006/metadata/properties" ma:root="true" ma:fieldsID="c35779650664abbfe51cdd41189b16a1" ns2:_="" ns3:_="">
    <xsd:import namespace="5c065345-6080-4ae7-8c42-1639e8cfe524"/>
    <xsd:import namespace="8973ee20-489b-48f3-bb52-c7475adb1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65345-6080-4ae7-8c42-1639e8cfe5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77291d1-ad8b-45b0-85be-c6c17879551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73ee20-489b-48f3-bb52-c7475adb1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cb1566-461b-4fca-9857-0ba895a189b6}" ma:internalName="TaxCatchAll" ma:showField="CatchAllData" ma:web="8973ee20-489b-48f3-bb52-c7475adb1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n-document xmlns:xsd="http://www.w3.org/2001/XMLSchema" xmlns:xsi="http://www.w3.org/2001/XMLSchema-instance" guid="0" synced="true" validated="true">
  <n-docbody>
    <standard.doc precedenttype="agreement">
      <prelim>
        <product.name>product.name0</product.name>
        <title>Disclosure letter: early-stage investment</title>
        <author>
          Howard Palmer, Taylor Wessing and Michelle Rodrigues, formerly of Taylor Wessing, and updated by 
          <link href="http://corporate.practicallaw.com/about/our-team/uk-corporate" style="ACTLinkURL">
            <ital>Practical Law Corporate</ital>
          </link>
        </author>
        <resource.type>Standard documents</resource.type>
        <juris>juris0</juris>
        <juris>juris1</juris>
      </prelim>
      <abstract>
        <para>
          <paratext>
            A first draft disclosure letter prepared by the warrantors in relation to an early-stage venture capital investment. This disclosure letter may be used in conjunction with 
            <link href="5-203-0955" style="ACTLinkPLCtoPLC">
              <ital>Standard document, Investment agreement: early-stage investment</ital>
            </link>
            .
          </paratext>
        </para>
      </abstract>
      <toc.identifier hasToc="false"/>
      <body>
        <drafting.note id="a945336" jurisdiction="">
          <head align="left" preservecase="true">
            <headtext>About this document</headtext>
          </head>
          <division id="a844966" level="1">
            <head align="left" preservecase="true">
              <headtext>What is the disclosure letter?</headtext>
            </head>
            <para>
              <paratext>In the context of an early-stage investment, a disclosure letter is prepared by the warrantors to identify and make known to the investor any exceptions to the warranties that are given by the warrantors in the investment agreement. The default position is that if any of the warrantor's warranties are untrue, the investor has a claim for breach of contract regardless of whether it relies on the warranty in question. However, it is usual practice for the parties to agree in the investment agreement that no claim arises if the facts or matters giving rise to the breach of warranty were adequately disclosed in the disclosure letter.</paratext>
            </para>
            <para>
              <paratext>A full and proper disclosure exercise is likely to be beneficial to the investor and the warrantors. For the warrantors, it may provide protection from a breach of warranty claim (or at least a successful defence to such a claim). For the investor, it supplements the due diligence exercise in providing a complete picture of the company's business and its liabilities.</paratext>
            </para>
            <para>
              <paratext>
                For further information on disclosure in the context of a corporate acquisition, see 
                <link href="5-107-4667" style="ACTLinkPLCtoPLC">
                  <ital>Practice note, Disclosure: acquisitions</ital>
                </link>
                .
              </paratext>
            </para>
            <division id="a752087" level="2">
              <head align="left" preservecase="true">
                <headtext>Drafting assumptions</headtext>
              </head>
              <para>
                <paratext>The drafting assumes that:</paratext>
              </para>
              <list type="bulleted">
                <list.item>
                  <para>
                    <paratext>
                      The transaction involves an investor subscribing for shares in the capital of a 
                      <link href="5-107-7048" style="ACTLinkPLCtoPLC">
                        <ital>private company</ital>
                      </link>
                       limited by shares that is incorporated and carries on it business primarily in England and Wales.
                    </paratext>
                  </para>
                </list.item>
                <list.item>
                  <para>
                    <paratext>The investment agreement contains a schedule of detailed warranties given by the warrantors and relating to the business of the investee company (and, where relevant, its subsidiaries).</paratext>
                  </para>
                </list.item>
                <list.item>
                  <para>
                    <paratext>The disclosure letter will be delivered to the investor when the investment agreement is exchanged.</paratext>
                  </para>
                </list.item>
                <list.item>
                  <para>
                    <paratext>The laws of England and Wales govern the investment agreement.</paratext>
                  </para>
                </list.item>
              </list>
              <para>
                <paratext>As the warrantors prepare the disclosure letter, this document is drafted from the warrantors' perspective and reflects a reasonably standard first draft. However, the drafting notes also highlight several key drafting and negotiating points that are relevant to the investor's position.</paratext>
              </para>
            </division>
            <division id="a872696" level="2">
              <head align="left" preservecase="true">
                <headtext>Legal issues</headtext>
              </head>
              <list type="bulleted">
                <list.item>
                  <para>
                    <paratext>
                      If a disclosure is not sufficiently precise, the warrantors run the risk that a court may find that it fails to preclude a claim for breach of warranty (
                      <link href="D-000-4295" style="ACTLinkURL">
                        <ital>Levison and others v Farin and others [1978] 2 All ER 1149</ital>
                      </link>
                      ). For further information on this issue, see 
                      <link anchor="a388030" href="5-107-4667" style="ACTLinkPLCtoPLC">
                        <ital>Practice note, Disclosure: acquisitions: How full and complete must a disclosure be?</ital>
                      </link>
                      .
                    </paratext>
                  </para>
                </list.item>
                <list.item>
                  <para>
                    <paratext>
                      The investment agreement provides that the only matters deemed to be disclosed are those disclosed in the disclosure letter (that is, irrespective of the investor's knowledge from other sources). However, following the decision in 
                      <link href="D-009-7987" style="ACTLinkURL">
                        <ital>Eurocopy plc v Teesdale and others [1992] BCLC 1067</ital>
                      </link>
                      , there is some doubt concerning the practical effect of such clauses. For more on this issue, see 
                      <link href="5-107-4667#a1002904" style="ACTLinkPLCtoPLC">
                        <ital>Practice note, Disclosure: acquisitions: Buyer's knowledge</ital>
                      </link>
                      .
                    </paratext>
                  </para>
                </list.item>
                <list.item>
                  <para>
                    <paratext>
                      Following the obiter remarks in 
                      <link href="D-000-3685" style="ACTLinkURL">
                        <ital>MAN Nutzfarhrzeuge AG and others v Freightliner Limited [2005] EWHC 2347 (Comm)</ital>
                      </link>
                      , only the strict contents of the disclosure documents should be deemed disclosed unless it is clear from the investment agreement or the disclosure letter that "all matters inferred from" the disclosure documents should also be deemed disclosed. For more on this point, see 
                      <link href="5-107-4667#a440358" style="ACTLinkPLCtoPLC">
                        <ital>Practice note, Disclosure: acquisitions: When is a disclosure fair?</ital>
                      </link>
                       and 
                      <link href="2-201-9780" style="ACTLinkPLCtoPLC">
                        <ital>Legal update, Private acquisitions: lessons from MAN v Freightliner, the nightmare acquisition - market practice analysis</ital>
                      </link>
                      .
                    </paratext>
                  </para>
                </list.item>
                <list.item>
                  <para>
                    <paratext>
                      Following the decision in 
                      <link href="D-007-5810" style="ACTLinkURL">
                        <ital>Infiniteland Ltd and John Stewart Aviss v Artisan Contracting Limited and Artisan (UK) PLC [2005] EWCA Civ 758</ital>
                      </link>
                      , it may be argued that any reference in the investment agreement to the actual knowledge of the investor limiting the extent of the warranties may defeat a claim for a breach of warranty if the investor in fact acquired the requisite actual knowledge. For more on this point, see 
                      <link href="5-107-4667#a1002904" style="ACTLinkPLCtoPLC">
                        <ital>Practice note, Disclosure: acquisitions: Buyer's knowledge</ital>
                      </link>
                      .
                    </paratext>
                  </para>
                </list.item>
                <list.item>
                  <para>
                    <paratext>
                      If a warrantor chooses to remain totally silent about a known problem, this does not necessarily constitute a misrepresentation under general law, as there is no general civil duty on a seller to disclose relevant facts (
                      <link href="D-016-7270" style="ACTLinkPLCtoPLC">
                        <ital>Percival v Wright [1902] 2 Ch. 421</ital>
                      </link>
                      ). However, if the warrantor's silence distorts a positive representation, then the warrantor would not be entitled to remain silent. The Fraud Act 2006 could also be relevant in this context, if a representation is made or a warranty is given that is false (and not corrected by disclosure) and the warrantor does so dishonestly and with the intention of making a gain or causing the investor loss. For further information, see 
                      <link anchor="a249172" href="5-107-4667" style="ACTLinkPLCtoPLC">
                        <ital>Practice note, Disclosure: acquisitions: What if the seller does not wish to disclose something?</ital>
                      </link>
                       and 
                      <link href="https://uk.practicallaw.thomsonreuters.com/Document/IB6F8B500848911EA823B941038F1CC53/View/FullText.html?ppcid=55b750eda88b4233b1606278f6f8cddd&amp;amp;originationContext=documenttoc&amp;amp;transitionType=CategoryPageItem&amp;amp;contextData=(sc.Default)&amp;amp;nortId=IC46A2CA0848911EA9756A2204D29B898&amp;amp;navId=4535F3ED08C32EF9213CD2A699A6ACA6&amp;amp;comp=books" style="ACTLinkURL">
                        <ital>Sinclair on Warranties and Indemnities on Share and Asset Sales (Sweet &amp; Maxwell, 12th ed, 2023)</ital>
                      </link>
                       at para 9.35 (Deliberate non-disclosure).
                    </paratext>
                  </para>
                </list.item>
                <list.item>
                  <para>
                    <paratext>
                      When considering the scope of their disclosures, the warrantors should also be mindful of 
                      <link href="7-523-3717" style="ACTLinkPLCtoPLC">
                        <ital>section 89</ital>
                      </link>
                       of the Financial Services Act 2012 (FS Act). This provides that it is a criminal offence for a person to do any of the following:
                    </paratext>
                  </para>
                  <list type="bulleted">
                    <list.item>
                      <para>
                        <paratext>make a statement which they know to be false or misleading in any material respect;</paratext>
                      </para>
                    </list.item>
                    <list.item>
                      <para>
                        <paratext>recklessly make a statement that is false or misleading in any material respect; or</paratext>
                      </para>
                    </list.item>
                    <list.item>
                      <para>
                        <paratext>dishonestly conceal material facts,</paratext>
                      </para>
                    </list.item>
                  </list>
                  <para>
                    <paratext>
                      if they do so with the intention of inducing, or they are reckless as to whether making the relevant statement or concealing the relevant fact may induce, another person to enter or offer to enter into, or to refrain from entering or offering to enter into, a relevant agreement or to exercise, or refrain from exercising any rights conferred by a relevant investment (
                      <ital>sections 89(1) and 89(2), FS Act</ital>
                      ). For this purpose, the expression 
                      <bold>relevant</bold>
                      <bold>agreement</bold>
                       is defined sufficiently broadly to capture an investment agreement relating to a subscription for shares (
                      <link href="9-523-3721" style="ACTLinkPLCtoPLC">
                        <ital>section 93(3)</ital>
                      </link>
                      <ital>, FS Act and </ital>
                      <link href="6-528-7107" style="ACTLinkPLCtoPLC">
                        <ital>articles 2</ital>
                      </link>
                      <ital> and </ital>
                      <link href="8-528-7125" style="ACTLinkPLCtoPLC">
                        <ital>4</ital>
                      </link>
                      <ital>, Financial Services Act 2012 (Misleading Statements and Impressions) Order 2013 (SI 2013/637)</ital>
                      ). For further information, see Practice notes, 
                      <link href="5-107-4667#a249172" style="ACTLinkPLCtoPLC">
                        <ital>Disclosure: acquisitions: What if the seller does not wish to disclose something?</ital>
                      </link>
                       and 
                      <link href="1-525-0465#a838946" style="ACTLinkPLCtoPLC">
                        <ital>False or misleading statements and impressions: criminal offences and FCA powers: False or misleading statements: section 89 offence</ital>
                      </link>
                      .
                    </paratext>
                  </para>
                </list.item>
              </list>
              <para>
                <paratext>
                  For further information, see Practice notes, 
                  <link anchor="a249172" href="5-107-4667" style="ACTLinkPLCtoPLC">
                    <ital>Disclosure: acquisitions: What if the seller does not wish to disclose something?</ital>
                  </link>
                   and 
                  <link anchor="a838946" href="1-525-0465" style="ACTLinkPLCtoPLC">
                    <ital>False or misleading statements and impressions: criminal offences and FCA powers: False or misleading statements: section 89 offence</ital>
                  </link>
                  .
                </paratext>
              </para>
            </division>
            <division id="a359450" level="2">
              <head align="left" preservecase="true">
                <headtext>Negotiating and drafting issues</headtext>
              </head>
              <list type="bulleted">
                <list.item>
                  <para>
                    <paratext>
                      <bold>Parties.</bold>
                       The disclosure letter is usually structured as a letter from the warrantors to the investor. Historically, the disclosure letter was sometimes addressed from the warrantors' solicitors to the investor's solicitors, but this approach no longer reflects market practice.
                    </paratext>
                  </para>
                </list.item>
                <list.item>
                  <para>
                    <paratext>
                      <bold>General and specific disclosures.</bold>
                       The disclosure letter is usually divided into general disclosures and specific disclosures. The general disclosures are usually much shorter than the specific disclosures, but they can consume more negotiating time.
                    </paratext>
                  </para>
                </list.item>
                <list.item>
                  <para>
                    <paratext>
                      <bold>Disclosure documents.</bold>
                       Copies of the disclosed documents are usually attached to the disclosure letter (commonly referred to as the disclosure bundle). The disclosure documents may be produced in hard copy, although it common practice to prepare USB flash drives containing the disclosed documents as an alternative to paper bundles.
                    </paratext>
                  </para>
                </list.item>
                <list.item>
                  <para>
                    <paratext>
                      <bold>Scope of disclosures.</bold>
                       The golden rule for the warrantors when preparing the disclosure letter is to ensure that they disclose everything relevant, even if they know that the investor is already aware of a particular matter. If the warrantors have any doubts as to whether something should be included, the prudent approach is to include it.
                    </paratext>
                  </para>
                </list.item>
                <list.item>
                  <para>
                    <paratext>
                      <bold>Timing of delivery.</bold>
                       Since the disclosure letter qualifies the warranties, it must be delivered, in final form, prior to exchange of the investment agreement (in practice, both documents are usually signed and dated at the same time). If there is an interval between signing and completion, and the warranties are to be repeated at completion, the investor may agree that the warrantors can deliver an updated disclosure letter at completion. However, if the investor agrees to this in principle, it is likely to seek to limit the scope of permitted disclosures under the updated disclosure letter (for example, to matters that have arisen since exchange of the investment agreement) and may also require a termination right (for example, in respect of material disclosures that, if they had not been disclosed, would have constituted a material breach of warranty).
                    </paratext>
                  </para>
                  <para>
                    <paratext>
                      Where the investor has agreed to make a further round of investment available to the company on the same terms as the initial investment, and the warranties are repeated at second completion, the warrantors may seek to deliver a second disclosure letter to investor to supplement the initial disclosure letter. For sample provisions to be used in conjunction with 
                      <link href="5-203-0955" style="ACTLinkPLCtoPLC">
                        <ital>Standard document, Investment agreement: early-stage investment</ital>
                      </link>
                       where there is a second round of investment on the same terms as the initial investment, see 
                      <link href="3-203-2291" style="ACTLinkPLCtoPLC">
                        <ital>Standard clause, Second completion: investment agreement: early-stage investment</ital>
                      </link>
                      <ital>.</ital>
                    </paratext>
                  </para>
                  <para>
                    <paratext>
                      For general information on this issue, see 
                      <link anchor="a586929" href="5-107-4667" style="ACTLinkPLCtoPLC">
                        <ital>Practice note, Disclosure: acquisitions: When should the disclosure letter be delivered?</ital>
                      </link>
                      .
                    </paratext>
                  </para>
                </list.item>
              </list>
              <list type="bulleted">
                <list.item>
                  <para>
                    <paratext>
                      <bold>Warranties or representations.</bold>
                       Include the reference to representations in square brackets in the second paragraph of the preamble if the warranties are also described as representations in the investment agreement.
                    </paratext>
                  </para>
                </list.item>
              </list>
            </division>
          </division>
        </drafting.note>
        <heading>
          <addressees>
            <addressee>
              <address.line>[INSERT INVESTOR'S NAME]</address.line>
              <address.line>[INSERT INVESTOR'S ADDRESS]</address.line>
            </addressee>
          </addressees>
          <date>[DATE]</date>
          <salutation>[To: [NAME(S) OF ADDRESSEE(S) AT INVESTOR]</salutation>
          <head align="left" preservecase="true">
            <headtext>Proposed investment in [NAME OF TARGET COMPANY] (Company)</headtext>
          </head>
        </heading>
        <preamble>
          <para>
            <paratext>
              We refer to the investment agreement (
              <defn.term>Agreement</defn.term>
              ) to be entered into between [NAME(S) OF WARRANTOR(S)] and the Company (
              <defn.term>Warrantor[s]</defn.term>
              ) and [FULL NAME OF INVESTOR] (
              <defn.term>Investor</defn.term>
              ) in connection with the Investor's proposed investment in the Company (
              <bold>Transaction</bold>
              ).
            </paratext>
          </para>
          <para>
            <paratext>
              The Agreement contains [representations and] warranties that are referred to in clause [NUMBER OF WARRANTY CLAUSE IN INVESTMENT AGREEMENT] and set out in Schedule [NUMBER OF WARRANTY SCHEDULE IN INVESTMENT AGREEMENT] of the Investment Agreement (
              <bold>Warranties</bold>
              ). This letter is the Disclosure Letter referred to in the Agreement and constitutes formal disclosure to the Investor for the purposes of the Agreement of the facts and circumstances that are or may be inconsistent with the 
              <defn.term>Warranties</defn.term>
              . Such facts and circumstances are deemed to qualify the Warranties accordingly.
            </paratext>
          </para>
        </preamble>
        <operative xrefname="paragraph">
          <clause id="a843973" numbering="none">
            <para>
              <paratext>Terms defined in the Agreement shall have the same meaning in this letter. References in this letter to paragraph headings and numbers shall, unless the context otherwise requires, be to those headings and numbered paragraphs in Schedule [INSERT NUMBER OF WARRANTY SCHEDULE IN INVESTMENT AGREEMENT] of the Agreement (Warranty Schedule). Such headings and numbering are for convenience only and shall not alter the construction of this letter nor in any way limit the effect of any of the disclosures, all of which are made against the Warranties as a whole.</paratext>
            </para>
            <para>
              <paratext>A disclosure or qualification made by reference to any particular paragraph of the Warranty Schedule shall be deemed to be made also in respect of any other paragraph of the Warranty Schedule to which the disclosure or qualification may be applicable.</paratext>
            </para>
            <drafting.note id="a267505" jurisdiction="">
              <head align="left" preservecase="true">
                <headtext>Disclosure made against all relevant warranties</headtext>
              </head>
              <division id="a000001" level="1">
                <para>
                  <paratext>The investor may try to resist this paragraph on the grounds that if a particular matter is relevant to more than one warranty, the warrantors should make a specific disclosure against each warranty in question. If there are very few disclosures, this may be a reasonable stance.</paratext>
                </para>
                <para>
                  <paratext>However, if there are a large number of specific disclosures, it can be a time consuming exercise for the warrantors to make specific disclosures against each relevant warranty. There is also a risk that the warrantors will miss a warranty and, as a result, be liable in respect of a matter that has otherwise been brought to the investor's attention in the disclosure letter.</paratext>
                </para>
                <para>
                  <paratext>
                    Even if it is agreed that each specific disclosure applies to all the warranties, case law suggests that disclosures need to be as precise as possible to be effective in qualifying the warranties. For instance, the decision in 
                    <link href="D-009-7983" style="ACTLinkPLCtoPLC">
                      <ital>Daniel Reeds Ltd v EM ESS Chemists Ltd [1995] C.L.C. 1405</ital>
                    </link>
                     suggests that a provision of this type will not extend a disclosure made against one warranty to another where it is not clear to a reasonable purchaser how that disclosure affects the other warranty.
                  </paratext>
                </para>
              </division>
            </drafting.note>
            <para>
              <paratext>The disclosure of any matter or document shall not imply any representation, warranty or undertaking not expressly given in the Agreement, nor shall such disclosure be taken as extending the scope of any of the Warranties.</paratext>
            </para>
            <para>
              <paratext>Where brief particulars only of a matter are set out or referred to in this letter, or a document is referred to but not attached, or a reference is made to a particular part only of such document, full particulars of the matter and the full contents of the document are deemed to be disclosed, and it is assumed that the Investor does not require any further particulars.</paratext>
            </para>
            <drafting.note id="a510098" jurisdiction="">
              <head align="left" preservecase="true">
                <headtext>Brief particulars</headtext>
              </head>
              <division id="a000002" level="1">
                <para>
                  <paratext>The investor should resist this provision on the basis that it should always have a cause of action unless full disclosure has been made. The investor could argue that the onus should be on the warrantors to determine what disclosures are required by the warranties.</paratext>
                </para>
              </division>
            </drafting.note>
          </clause>
          <clause id="a397664" numbering="none">
            <head align="left" preservecase="true">
              <headtext>General disclosures</headtext>
            </head>
            <drafting.note id="a1038036" jurisdiction="">
              <head align="left" preservecase="true">
                <headtext>General disclosures: negotiating and drafting issues</headtext>
              </head>
              <division id="a000003" level="1">
                <list type="bulleted">
                  <list.item>
                    <para>
                      <paratext>While it is possible that a court would only hold that an effective disclosure had been made where the source of information referred to in the general disclosures clearly identifies the issue, it may be helpful for an investor to specifically include in the preamble to the general disclosures the words "to the extent fairly disclosed" or "to the extent that the disclosure satisfies the criteria set out in the definition of Disclosed".</paratext>
                    </para>
                  </list.item>
                  <list.item>
                    <para>
                      <paratext>The investor should seek to limit general disclosures where appropriate. The investor will be treated as having knowledge of the general disclosures made. As such, the investor should not accept a disclosure unless all relevant members of its deal team have had the opportunity to review, understand and investigate that disclosure. For example, if the general disclosures include a series of property searches, the investor must be sure that they have been carried out. Alternatively, the investor should seek to delete them from the disclosure letter on the basis that they are unreasonable.</paratext>
                    </para>
                  </list.item>
                  <list.item>
                    <para>
                      <paratext>Where general disclosures require searches to be conducted, when acting for the investor it is important to obtain client consent before incurring fees and disbursements in carrying out those searches. Since the warrantors typically seek to include as many general disclosures as possible, negotiating this part of the disclosure letter will come down to what searches or enquiries are considered reasonable for the investor to have made (whether or not it chooses to make them).</paratext>
                    </para>
                  </list.item>
                  <list.item>
                    <para>
                      <paratext>Where the general disclosures refer to the disclosure of documents (for example, all correspondence passing between solicitors in relation to the transaction), the investor should insist that these are specifically disclosed by being included in the disclosure bundle, both in the interests of certainty and to ensure that everyone focuses on their contents.</paratext>
                    </para>
                  </list.item>
                </list>
                <para>
                  <paratext>
                    For further information on general disclosures, see 
                    <link anchor="a1002878" href="5-107-4667" style="ACTLinkPLCtoPLC">
                      <ital>Practice note, Disclosure: acquisitions: General disclosures</ital>
                    </link>
                    .
                  </paratext>
                </para>
              </division>
            </drafting.note>
            <subclause1 id="a432623">
              <para>
                <paratext>By way of general disclosure, the following matters are disclosed or deemed disclosed to the Investor:</paratext>
              </para>
            </subclause1>
          </clause>
          <clause id="a522555">
            <identifier>1.</identifier>
            <para>
              <paratext>All circumstances, facts and matters that are described or provided for in the Agreement.</paratext>
            </para>
          </clause>
          <clause id="a797678">
            <identifier>2.</identifier>
            <para>
              <paratext>
                The contents of the articles of association of [the Company 
                <bold>OR</bold>
                 each Group Company] and the documents annexed to them, copies of which have been provided to the Investor.
              </paratext>
            </para>
          </clause>
          <clause id="a175571">
            <identifier>3.</identifier>
            <para>
              <paratext>
                All circumstances, facts and matters that would be revealed by an online search of the file of [the Company 
                <bold>OR</bold>
                 each Group Company] at Companies House on the date of this letter.
              </paratext>
            </para>
            <drafting.note id="a936502" jurisdiction="">
              <head align="left" preservecase="true">
                <headtext>Information at Companies House</headtext>
              </head>
              <division id="a000004" level="1">
                <para>
                  <paratext>
                    It is common for a warrantor to attempt to provide that the investor is deemed to have knowledge of all matters kept on file at 
                    <link href="3-107-5955" style="ACTLinkPLCtoPLC">
                      <ital>Companies House</ital>
                    </link>
                    .
                  </paratext>
                </para>
                <para>
                  <paratext>The investor's approach should be that, simply because information is publicly available, it should not necessarily be deemed to be disclosed and thereby qualify the warranties.</paratext>
                </para>
                <para>
                  <paratext>If an investor accepts this general disclosure, its legal team must carry out an online search of the file of each group company at Companies House and ensure that the searches are updated as at the date of the disclosure letter. This exercise can impose a considerable burden on the investor's legal team. For example, in the case of an old company, there is likely to be a large volume of material on the register. It may also be very difficult to evaluate all information contained in, for example, prior accounts, in the context of the warranties.</paratext>
                </para>
                <para>
                  <paratext>A possible compromise position would be to accept disclosure of entries on the register made within a specified period (for example, the previous two years).</paratext>
                </para>
                <para>
                  <paratext>
                    The same approach should be taken in relation to deemed disclosure of information available through searches of other public registers (for example, trade mark registers (see 
                    <internal.reference refid="a727401">
                      <ital>paragraph 12</ital>
                    </internal.reference>
                     and overseas company registries).
                  </paratext>
                </para>
                <para>
                  <paratext>If the investor is willing to accept disclosure of searchable information, it must ensure that it is able to update any searches as at the date of the disclosure letter. If not, the deemed disclosures should be restricted to those searches actually carried out by the investor on the relevant date.</paratext>
                </para>
              </division>
            </drafting.note>
          </clause>
          <clause id="a635917">
            <identifier>4.</identifier>
            <para>
              <paratext>
                The contents of the minute books and other statutory books of [the Company 
                <bold>OR</bold>
                 each Group Company], all of which have been made available to the Investor.
              </paratext>
            </para>
            <drafting.note id="a930631" jurisdiction="">
              <head align="left" preservecase="true">
                <headtext>Contents of company records</headtext>
              </head>
              <division id="a000005" level="1">
                <para>
                  <paratext>
                    The approach taken by an investor in dealing with this deemed disclosure should be the same as that described in 
                    <internal.reference refid="a175571">
                      <ital>paragraph 3</ital>
                    </internal.reference>
                     in relation to information on public registers (see 
                    <internal.reference refid="a936502">
                      <ital>Drafting note, Information at Companies House</ital>
                    </internal.reference>
                    ).
                  </paratext>
                </para>
                <para>
                  <paratext>If this general disclosure is accepted, the investor and its advisers must review the relevant corporate records.</paratext>
                </para>
                <para>
                  <paratext>If the any group company is particularly old, the investor should consider limiting disclosure to entries made in the recent past (for example, the last two years).</paratext>
                </para>
              </division>
            </drafting.note>
          </clause>
          <clause id="a255461">
            <identifier>5.</identifier>
            <para>
              <paratext>
                All matters shown in the [audited] annual accounts of [the Company 
                <bold>OR</bold>
                 each Group Company] for the financial periods [INSERT DATE] to [INSERT DATE][, and any matters shown in the management accounts of the Company 
                <bold>OR</bold>
                 each Group Company] for the period [INSERT DATE] to [INSERT DATE]].
              </paratext>
            </para>
            <drafting.note id="a257571" jurisdiction="">
              <head align="left" preservecase="true">
                <headtext>Accounts</headtext>
              </head>
              <division id="a000006" level="1">
                <para>
                  <paratext>
                    Scottish case law has cast doubt on the practice of making deemed disclosure of all matters "set out or referred to" in the accounts. In 
                    <link href="D-009-7985" style="ACTLinkURL">
                      <ital>New Hearts v Cosmopolitan Investments [1997] 2 BCLC 249</ital>
                    </link>
                    , it was held that "
                    <ital>mere reference to a source of information which was complex but in which the diligent enquirer might find relevant information…</ital>
                    " would not satisfy the requirements of fair disclosure. For further information on this decision, see 
                    <link href="5-107-4667#a440358" style="ACTLinkPLCtoPLC">
                      <ital>Practice note, Disclosure: acquisitions: When is a disclosure fair?</ital>
                    </link>
                    . The judgement did not rule out the possibility of referring to a source of information that clearly identifies the problem. However, the warrantors should ensure that problem areas are clearly signposted in the disclosure letter.
                  </paratext>
                </para>
                <para>
                  <paratext>The investor should resist disclosure of any financial information other than the latest audited accounts and the management accounts of the company or group companies (as applicable). In addition, any disclosures should be limited to matters specifically provided for or noted in the accounts.</paratext>
                </para>
                <para>
                  <paratext>
                    It is possible that the last accounts may be included as part of the warrantors' limitations on liability in the investment agreement, in which case there may be little point in duplicating this within the general disclosures (see, for example, 
                    <link anchor="a207659" href="5-203-0955" style="ACTLinkPLCtoPLC">
                      <ital>Standard document, Investment agreement: early-stage investment: clause 6.7(c)</ital>
                    </link>
                    ).
                  </paratext>
                </para>
                <para>
                  <paratext>So that it is clear precisely what has been seen by the investor, the investor should suggest deleting this deemed disclosure, and require that copies of the relevant documents be included in the disclosure bundle instead.</paratext>
                </para>
              </division>
            </drafting.note>
          </clause>
          <clause id="a397378">
            <identifier>6.</identifier>
            <para>
              <paratext>[All documents and information attached to this letter and signed by or on behalf of the Investor and each Warrantor for identification purposes.</paratext>
            </para>
          </clause>
          <clause id="a306176" numbering="none">
            <para>
              <paratext>
                <bold>OR</bold>
              </paratext>
            </para>
          </clause>
          <clause id="a413384" numbering="none">
            <para>
              <paratext>All information contained or referred to in the documents included in the [electronic] data room hosted by [NAME OF DATA ROOM HOST] and made available to the Investor, its representatives and advisers in relation to the Transaction, as [contained on the USB flash drive delivered to the Investor on or around the date of this letter and] listed in the data room index attached to this letter, two copies of which have been signed by or on behalf of the Investor and each Warrantor for identification purposes.]</paratext>
            </para>
            <drafting.note id="a304372" jurisdiction="">
              <head align="left" preservecase="true">
                <headtext>Disclosure documents and data room</headtext>
              </head>
              <division id="a000007" level="1">
                <para>
                  <paratext>The investor should refuse deemed disclosure of matters "referred to" in the bundle of disclosure documents. If something is only referred to (but not contained in) the disclosure documents, the matter cannot be said to have been properly brought to the attention of the investor. Also, there is uncertainty as to exactly what is disclosed.</paratext>
                </para>
                <para>
                  <paratext>
                    Where this standard document is being used in conjunction with 
                    <link href="5-203-0955" style="ACTLinkPLCtoPLC">
                      <ital>Standard document, Investment agreement: early-stage investment</ital>
                    </link>
                    , ensure that this paragraph 6 reflects the definition of "Disclosure Documents" (see 
                    <link anchor="a191825" href="5-203-0955" style="ACTLinkPLCtoPLC">
                      <ital>Disclosure Documents</ital>
                    </link>
                    ).
                  </paratext>
                </para>
                <division id="a892824" level="2">
                  <head align="left" preservecase="true">
                    <headtext>Generally disclosing a data room</headtext>
                  </head>
                  <para>
                    <paratext>Where due diligence has been carried out via a data room, the warrantors may wish to seek to generally disclose its contents. Whether the investor accepts this will depend on the circumstances (including, for example, the size of the data room, the nature of its contents and the time made available to the investor for its review), and what has been agreed regarding the contractual standard of disclosure.</paratext>
                  </para>
                  <para>
                    <paratext>The data room is likely to contain extensive information not solely related to replies to the legal due diligence questionnaire (for example, financial and commercial due diligence materials and deal process documentation, such as any early information memoranda or offer term sheets). Where that is the case, the investor should seek to restrict any general disclosure of the data room to specific legal folders rather than its entire contents.</paratext>
                  </para>
                </division>
              </division>
            </drafting.note>
          </clause>
          <clause id="a711932">
            <identifier>7.</identifier>
            <para>
              <paratext>
                [All circumstances, facts and matters disclosed to [the Investor's accountants [or [OTHERS]]], or which ought reasonably to have been revealed in the course of the investigation of the [Company 
                <bold>OR</bold>
                 Group Companies] by [such accountants [or [OTHERS]]], and all matters disclosed in the report produced by [such accountants [or [OTHERS]]] dated [DATE] regarding the business and affairs of the [Company 
                <bold>OR</bold>
                 Group Companies.
              </paratext>
            </para>
          </clause>
          <clause id="a513917" numbering="none">
            <para>
              <paratext>
                <bold>OR</bold>
              </paratext>
            </para>
          </clause>
          <clause id="a418142" numbering="none">
            <para>
              <paratext>The replies given to the Investor (or its representatives or advisers) in response to the information requests made by the Investor['s Solicitors] as part of the Investors' due diligence in relation to the Transaction[, including (without limitation) the replies to the initial legal due diligence questionnaire dated [DATE]].</paratext>
            </para>
            <drafting.note id="a939291" jurisdiction="">
              <head align="left" preservecase="true">
                <headtext>Due diligence reports and replies to enquiries</headtext>
              </head>
              <division id="a000008" level="1">
                <para>
                  <paratext>The warrantors may argue that, by virtue of its extensive due diligence, the investor knows as much about the company (and group companies, if relevant) and the business as the warrantors themselves. Accordingly, the argument runs that all matters discovered in the course of the due diligence investigation or contained in any investigating accountants' report should be deemed to be disclosed.</paratext>
                </para>
                <para>
                  <paratext>The investor should respond that a due diligence investigation is not a substitute for a disclosure letter, since the latter enables the investor to ensure that disclosures are properly reviewed by all relevant personnel. The warrantors may still press to receive a copy of the investigating accountants' report for inclusion in the disclosure bundle. However, the investor will normally argue that this report is private to it and was not prepared for disclosure to the warrantors (unless, of course, it has already been made available to the warrantors for comment, which will sometimes be the case). In any event, the report will not have been prepared with a view to qualifying the warranties.</paratext>
                </para>
                <para>
                  <paratext>
                    Having said this, the investor should be aware that if it does know of something, even if this is not included in the disclosure letter, there is a risk that such knowledge will be a bar to recovery under a breach of warranty claim (see 
                    <link anchor="a1002904" href="5-107-4667" style="ACTLinkPLCtoPLC">
                      <ital>Practice note, Disclosure: acquisitions: Buyer's knowledge</ital>
                    </link>
                    ).
                  </paratext>
                </para>
                <para>
                  <paratext>Bear in mind that if the warrantors insist on disclosure of any due diligence reports, the investor may respond by insisting that the contents of any such report are warranted by the warrantors.</paratext>
                </para>
                <para>
                  <paratext>If the investor resists these general disclosures, the warrantors could be more specific by including the alternative provision relating to pre-contract enquiries, which seeks to limit the disclosure to the specific due diligence enquiries made by the investor and the responses made to those enquiries.</paratext>
                </para>
              </division>
            </drafting.note>
          </clause>
          <clause id="a170906">
            <identifier>8.</identifier>
            <para>
              <paratext>[All information contained or referred to in correspondence between the Warrantors (and any of them) or their representatives or advisers and the Investor or its representatives or advisers in relation to, or connected with, the Transaction, together with all enclosures and attachments to such correspondence and all matters referred to in such enclosures or attachments.]</paratext>
            </para>
            <drafting.note id="a103170" jurisdiction="">
              <head align="left" preservecase="true">
                <headtext>Parties' correspondence</headtext>
              </head>
              <division id="a000009" level="1">
                <para>
                  <paratext>There could be a vast amount of correspondence giving information about the company or the group companies (as the case may be), most of which will not have been read by the recipient as qualifying the warranties. Also, it will not make sense for some correspondence to qualify the warranties (such as former drafts of the disclosure letter).</paratext>
                </para>
                <para>
                  <paratext>If the investor is prepared to accept this type of general disclosure to any extent, it should be restricted to certain identified correspondence, copies of which are included in the disclosure bundle.</paratext>
                </para>
                <para>
                  <paratext>When negotiating this general disclosure, bear in mind the risk of correspondence being received and reviewed by someone in the investor's team who does not appreciate the true significance of a disclosure.</paratext>
                </para>
              </division>
            </drafting.note>
          </clause>
          <clause id="a525354">
            <identifier>9.</identifier>
            <para>
              <paratext>All circumstances, facts and matters that would be shown by searches at:</paratext>
            </para>
            <subclause1 id="a935177">
              <identifier>9.1</identifier>
              <para>
                <paratext>HM Land Registry and the Land Charges Department at HM Land Registry; and</paratext>
              </para>
            </subclause1>
            <subclause1 id="a254524">
              <identifier>9.2</identifier>
              <para>
                <paratext>the local authorities and all other public registers relevant to the Properties,</paratext>
              </para>
            </subclause1>
            <para>
              <paratext>in each case carried out at the date of this letter by the Investor as if it were a purchaser of the Properties.</paratext>
            </para>
            <drafting.note id="a486488" jurisdiction="">
              <head align="left" preservecase="true">
                <headtext>Property searches</headtext>
              </head>
              <division id="a000010" level="1">
                <para>
                  <paratext>The investor should proceed carefully in dealing with deemed disclosure of the results of real property searches. It should limit deemed disclosure to property searches actually carried out, copies of which may be included in the disclosure bundle.</paratext>
                </para>
                <para>
                  <paratext>The general disclosure is drafted on the assumption that the term "Properties" is defined in the investment agreement, and that this expression captures all the properties owned or occupied by a group company. This general disclosure will not be relevant where the group does not own or occupy any real properties, and where no substantive property warranties are given by the warrantors.</paratext>
                </para>
              </division>
            </drafting.note>
          </clause>
          <clause id="a843836">
            <identifier>10.</identifier>
            <para>
              <paratext>All circumstances, facts and matters contained in the deeds to the Properties that have been made available to the Investor.</paratext>
            </para>
            <drafting.note id="a281772" jurisdiction="">
              <head align="left" preservecase="true">
                <headtext>Property deeds</headtext>
              </head>
              <division id="a000011" level="1">
                <para>
                  <paratext>To ensure clarity as to what the investor has seen, the investor could suggest deleting this deemed disclosure and require instead that copies of relevant documents are included in the disclosure bundle.</paratext>
                </para>
                <para>
                  <paratext>The drafting assumes that the investment agreement defines the term "Properties" to include all the properties owned or occupied by a group company. This general disclosure will not be relevant where the group does not own or occupy any real properties, and where no substantive property warranties are given by the warrantors.</paratext>
                </para>
              </division>
            </drafting.note>
          </clause>
          <clause id="a174958">
            <identifier>11.</identifier>
            <para>
              <paratext>All circumstances, facts and matters that would be apparent from an inspection of the Properties at the date of this letter.</paratext>
            </para>
            <drafting.note id="a288408" jurisdiction="">
              <head align="left" preservecase="true">
                <headtext>Inspection of properties</headtext>
              </head>
              <division id="a000012" level="1">
                <para>
                  <paratext>The investor should reject this general disclosure. Even if a proper inspection can be organised, it is unlikely that it could realistically be conducted by all the personnel and advisers who would fully appreciate the implications of what they see in the context of the warranties. Also, evidentially, it may be unclear what would or should be apparent from an inspection.</paratext>
                </para>
                <para>
                  <paratext>A compromise would be to permit the warrantors to include in the disclosure bundle a copy of any surveyor's report relating to the properties that has been prepared for the investor. However, this is unlikely to be particularly relevant if the warrantors have successfully resisted giving warranties as to the structure of the properties.</paratext>
                </para>
                <para>
                  <paratext>If the investor accepts this disclosure, it should refer to the date on which any inspection was carried out. In practice, this is unlikely to be the date of the disclosure letter.</paratext>
                </para>
                <para>
                  <paratext>The drafting assumes that the investment agreement defines the term "Properties" to include all the properties owned or occupied by a group company. This general disclosure will not be relevant where the group does not own or occupy any real properties, and where no substantive property warranties are given by the warrantors.</paratext>
                </para>
              </division>
            </drafting.note>
          </clause>
          <clause id="a727401">
            <identifier>12.</identifier>
            <para>
              <paratext>
                All circumstances, facts and matters that would be revealed by a search of the registers and documents maintained by the UK Intellectual Property Office [or [OTHERS]] in respect of [the Company 
                <bold>OR</bold>
                 each Group Company] as at the date of this letter.
              </paratext>
            </para>
            <drafting.note id="a730583" jurisdiction="">
              <head align="left" preservecase="true">
                <headtext>Intellectual property registries</headtext>
              </head>
              <division id="a000013" level="1">
                <para>
                  <paratext>The reference to the UK Intellectual Property Office will cover UK registered rights, namely registered trade marks, registered designs and patents. However, any unregistered UK intellectual property rights (such as unregistered trade marks, know-how, design rights and copyright) will not be covered. On some deals, the warrantors may want to refer to rights outside of the UK such as:</paratext>
                </para>
                <list type="bulleted">
                  <list.item>
                    <para>
                      <paratext>
                        Community-wide rights, namely the EU trade mark and Community design right, which is administered by EUIPO (see 
                        <link href="http://www.euipo.europa.eu/" style="ACTLinkURL">
                          <ital>www.euipo.europa.eu</ital>
                        </link>
                        ).
                      </paratext>
                    </para>
                  </list.item>
                  <list.item>
                    <para>
                      <paratext>Trade marks registered under the Madrid Protocol. Under this system, marks are protected in designated countries. However, renewals, changes of ownership and other matters affecting the registration are dealt with centrally at WIPO. The registration is therefore international in this administrative sense.</paratext>
                    </para>
                  </list.item>
                  <list.item>
                    <para>
                      <paratext>European patents applied for under the European Patent Convention (EPC). The EPC provides a single route to the grant of a European patent, which then operates as a bundle of national patent rights in designated member countries. These are applied for via the European Patent Office (EPO) and may be searched via the EPO's database.</paratext>
                    </para>
                  </list.item>
                  <list.item>
                    <para>
                      <paratext>
                        Rights registered at any relevant national intellectual property registers in other jurisdictions (for further information, see 
                        <link href="https://uk.practicallaw.thomsonreuters.com/Browse/Home/International/IPinBusinessTransactionsGlobalGuide?transitionType=Default&amp;amp;contextData=(sc.Default)" style="ACTLinkURL">
                          <ital>IP in Business Transactions Global Guide</ital>
                        </link>
                        ).
                      </paratext>
                    </para>
                  </list.item>
                </list>
                <para>
                  <paratext>
                    For further information on intellectual property issues in the context of a share acquisition, see 
                    <link href="7-200-4366" style="ACTLinkPLCtoPLC">
                      <ital>Practice note, Intellectual property: share purchases</ital>
                    </link>
                    .
                  </paratext>
                </para>
                <division id="a871689" level="2">
                  <head align="left" preservecase="true">
                    <headtext>Investor's perspective</headtext>
                  </head>
                  <para>
                    <paratext>The investor will likely want to limit any general disclosures relating to intellectual property searches, particularly searches of registries outside of the UK, because:</paratext>
                  </para>
                  <list type="bulleted">
                    <list.item>
                      <para>
                        <paratext>Certain information may not be publicly accessible without charge.</paratext>
                      </para>
                    </list.item>
                    <list.item>
                      <para>
                        <paratext>Some information may only be discoverable by requesting the case file from the registry, which may take time and leads to disclosure of numerous documents.</paratext>
                      </para>
                    </list.item>
                    <list.item>
                      <para>
                        <paratext>It will often be impractical or unreasonable to expect the investor to review all documents filed at the registry, which are likely to be numerous and, in many cases, merely procedural.</paratext>
                      </para>
                    </list.item>
                    <list.item>
                      <para>
                        <paratext>Certain information may not be available in English.</paratext>
                      </para>
                    </list.item>
                    <list.item>
                      <para>
                        <paratext>Certain information may not be up to date or may be subject to the other caveats specified by the registry.</paratext>
                      </para>
                    </list.item>
                  </list>
                  <para>
                    <paratext>The investor may therefore look to limit the general disclosure in this paragraph to those matters that would be revealed on the first results page of free, publicly available online searches made on a certain date and time, using specified search criteria at specified registries only.</paratext>
                  </para>
                  <para>
                    <paratext>Alternatively, the investor may limit the search obligation to confirming the details contained in an intellectual property schedule provided by the warrantors in the first instance, to the extent the same is discoverable by carrying out a search.</paratext>
                  </para>
                </division>
              </division>
            </drafting.note>
          </clause>
          <clause id="a338553">
            <identifier>13.</identifier>
            <para>
              <paratext>All circumstances, facts and matters that would be revealed by a WHOIS search of top level domain names [maintained by NOMINET].</paratext>
            </para>
            <drafting.note id="a735679" jurisdiction="">
              <head align="left" preservecase="true">
                <headtext>Domain names</headtext>
              </head>
              <division id="a000014" level="1">
                <para>
                  <paratext>
                    The investor should undertake a search of the WHOIS database of domain names for each domain name used by the company or any group company (as the case may be). For further information, see 
                    <link href="3-506-5891" style="ACTLinkPLCtoPLC">
                      <ital>Domain name due diligence checklist</ital>
                    </link>
                     and 
                    <link anchor="a404036" href="7-107-4384" style="ACTLinkPLCtoPLC">
                      <ital>Practice note, Domain names: registration and transfer: WHOIS database</ital>
                    </link>
                    .
                  </paratext>
                </para>
                <para>
                  <paratext>Nominet is the official registry for .UK domain names, but if the company or any group company operates internationally the search criteria should be expanded to cover other national registries. For this reason, if acting for the warrantors, consider omitting the optional words in square brackets. If acting for the investor, seek to narrow the search scope to specific registries only.</paratext>
                </para>
                <para>
                  <paratext>
                    Note that, since the coming into force of the 
                    <link href="6-631-1875" style="ACTLinkPLCtoPLC">
                      <ital>General Data Protection Regulation ((EU) 2016/679) (GDPR)</ital>
                    </link>
                    <ital> </ital>
                    (which has become the 
                    <link href="w-019-6282" style="ACTLinkPLCtoPLC">
                      <ital>retained EU law</ital>
                    </link>
                     version of the GDPR (
                    <link href="w-026-8528" style="ACTLinkPLCtoPLC">
                      <ital>UK GDPR</ital>
                    </link>
                    ) in the UK following the end of the 
                    <link href="w-023-9796" style="ACTLinkPLCtoPLC">
                      <ital>UK-EU transition period</ital>
                    </link>
                    ), not all domain names have been readily discoverable from these searches. For a more detailed discussion on this issue, see 
                    <link href="3-506-5891" style="ACTLinkPLCtoPLC">
                      <ital>Domain name due diligence checklist</ital>
                    </link>
                    . Accordingly, from the investor's perspective, it is safer to require the warrantors to list all business-critical domain names in a schedule to the Agreement and then to have them backed by warranties as to the accuracy of such information. The investor can then limit its search obligations in this paragraph (if it agrees to them at all) to confirming the information provided in the schedule to the extent the same is discoverable by carrying out a search.
                  </paratext>
                </para>
              </division>
            </drafting.note>
          </clause>
          <clause id="a104967">
            <identifier>14.</identifier>
            <para>
              <paratext>
                All circumstances, facts and matters that would be revealed by a search of the Data Protection Public Register maintained by the Information Commissioner in respect of [the Company 
                <bold>OR</bold>
                 each Group Company] as at the date of this letter.
              </paratext>
            </para>
            <drafting.note id="a936505" jurisdiction="">
              <head align="left" preservecase="true">
                <headtext>Data protection public registers</headtext>
              </head>
              <division id="a000015" level="1">
                <para>
                  <paratext>
                    The 
                    <link href="w-014-9417" style="ACTLinkPLCtoPLC">
                      <ital>Data Protection Act 2018</ital>
                    </link>
                     empowers the Secretary of State to make regulations requiring controllers to pay charges to the Information Commissioner. The 
                    <link href="w-014-6591" style="ACTLinkPLCtoPLC">
                      <ital>Data Protection (Charges and Information) Regulations 2018 (SI 2018/480)</ital>
                    </link>
                     set out:
                  </paratext>
                </para>
                <list type="bulleted">
                  <list.item>
                    <para>
                      <paratext>When controllers are required to provide information and pay a charge to the Information Commissioner in respect of their processing activities.</paratext>
                    </para>
                  </list.item>
                  <list.item>
                    <para>
                      <paratext>What is considered "exempt processing" and does not attract a charge or require the provision of information to the Information Commissioner.</paratext>
                    </para>
                  </list.item>
                </list>
                <para>
                  <paratext>
                    It would be prudent for the investor to check the Data Protection Public Register to confirm that (if required) the company or group companies (as the case may be) has or have paid the requisite fees to the Information Commissioner in relation to data processing activities. For further information, see 
                    <link anchor="a218558" href="w-014-5998" style="ACTLinkPLCtoPLC">
                      <ital>Practice note, Data Protection Act 2018: overview: Fees and charges</ital>
                    </link>
                    .
                  </paratext>
                </para>
              </division>
            </drafting.note>
          </clause>
          <clause id="a902742">
            <identifier>15.</identifier>
            <para>
              <paratext>
                All facts, matters and circumstances of which the Investor ought reasonably (without having made specific enquiry) to be aware as affecting a business similar to the business carried on by the [Company 
                <bold>OR</bold>
                 Group Companies], and all matters that are a matter of public record or within the public domain.
              </paratext>
            </para>
            <drafting.note id="a511578" jurisdiction="">
              <head align="left" preservecase="true">
                <headtext>Matters affecting a similar business and public domain</headtext>
              </head>
              <division id="a000016" level="1">
                <para>
                  <paratext>The warrantors may argue that the investor should not be able to claim in respect of things that are endemic in a particular industry with which the investor is familiar (although this will be less common in a venture capital investment context than in a sale and purchase between trading parties).</paratext>
                </para>
                <para>
                  <paratext>The investor should resist this disclosure. Problems within the industry are likely to vary from business to business and, in any event, the parties may not agree as to what problems are endemic. Also, it is open to the warrantors to specifically disclose the problems they have in mind.</paratext>
                </para>
                <division id="a594553" level="2">
                  <head align="left" preservecase="true">
                    <headtext>Information in public domain</headtext>
                  </head>
                  <para>
                    <paratext>
                      General disclosure of all matters of public record or within the public domain is extremely broad and would encompass information contained on public registers that would not normally be searched by an investor (for example, the Financial Services Register held by the 
                      <link href="5-107-5761" style="ACTLinkPLCtoPLC">
                        <ital>Financial Conduct Authority</ital>
                      </link>
                      ) and matters, although in the public domain, of which the investor cannot reasonably be expected to be aware (for example, everything that has ever appeared in the local press or that is on the internet). For these reasons, the investor should reject this general disclosure.
                    </paratext>
                  </para>
                </division>
              </division>
            </drafting.note>
          </clause>
          <clause id="a105688">
            <identifier>16.</identifier>
            <para>
              <paratext>[SPECIFY OTHER DOCUMENTS OR INFORMATION TO BE DEEMED DISCLOSED.]</paratext>
            </para>
          </clause>
          <clause id="a310517" numbering="none">
            <head align="left" preservecase="true">
              <headtext>Specific disclosures</headtext>
            </head>
            <drafting.note id="a309763" jurisdiction="">
              <head align="left" preservecase="true">
                <headtext>Specific disclosures</headtext>
              </head>
              <division id="a000017" level="1">
                <para>
                  <paratext>Complete this section of the disclosure letter with details of any specific matters that are known to the warrantors and which, if not disclosed, may constitute a breach of warranty.</paratext>
                </para>
                <para>
                  <paratext>The specific disclosures are produced by reference to the warranties themselves. For example, against a no litigation warranty, the warrantors would need to disclose details of any current litigation affecting the company or any group company (as the case may be). Additionally, certain warranties may require particular information to be listed in the disclosure letter (for example, a warranty that the warrantors have disclosed specified information regarding the company's employees).</paratext>
                </para>
                <para>
                  <paratext>The investor should not hesitate to mark up the specific disclosures if necessary. For example, if the disclosure letter discloses details of a major dispute without stating whether or not legal proceedings have been commenced, the investor may wish to amend the disclosure by suggesting wording that confirms that proceedings have not been commenced. It is better for the investor to prompt disclosure of any problems rather than having to deal with them after completion.</paratext>
                </para>
                <para>
                  <paratext>
                    For further information on specific disclosures, see 
                    <link anchor="a88953" href="5-107-4667" style="ACTLinkPLCtoPLC">
                      <ital>Practice note, Disclosure: acquisitions: Specific disclosures</ital>
                    </link>
                    .
                  </paratext>
                </para>
              </division>
            </drafting.note>
          </clause>
          <clause id="a393160" numbering="none">
            <para>
              <paratext>The following specific disclosures are made in relation to the Warranties:</paratext>
            </para>
            <para>
              <paratext>
                <table frame="all" pgwide="1">
                  <tgroup cols="2">
                    <colspec colname="1" colnum="1" colwidth="35"/>
                    <colspec colname="2" colnum="2" colwidth="64"/>
                    <tbody>
                      <row>
                        <entry valign="top">
                          <para align="left">
                            <paratext>
                              <bold>Warranty number</bold>
                            </paratext>
                          </para>
                        </entry>
                        <entry valign="top">
                          <para align="left">
                            <paratext>
                              <bold>Specific disclosure</bold>
                            </paratext>
                          </para>
                        </entry>
                      </row>
                      <row>
                        <entry valign="top">
                          <para align="left">
                            <paratext>[PARAGRAPH NUMBER OF RELEVANT WARRANTY]</paratext>
                          </para>
                        </entry>
                        <entry valign="top">
                          <para align="left">
                            <paratext>[DETAILS OF SPECIFIC DISCLOSURE]</paratext>
                          </para>
                        </entry>
                      </row>
                    </tbody>
                  </tgroup>
                </table>
              </paratext>
            </para>
          </clause>
          <clause id="a475489" numbering="none">
            <para>
              <paratext>Please acknowledge receipt [and acceptance] of this Disclosure Letter by signing, dating and returning the enclosed copy of this letter.</paratext>
            </para>
            <drafting.note id="a140352" jurisdiction="">
              <head align="left" preservecase="true">
                <headtext>Acknowledgement and acceptance</headtext>
              </head>
              <division id="a000018" level="1">
                <para>
                  <paratext>When acting for the investor, some practitioners resist "accepting" the disclosure letter. The rationale is that this could in some way be seen as agreeing that the contents of the disclosure letter satisfy the requisite standard of disclosure (be that fair disclosure or any other standard set out in the investment agreement).</paratext>
                </para>
              </division>
            </drafting.note>
          </clause>
        </operative>
        <closing>
          <sincerely>Yours faithfully,</sincerely>
        </closing>
        <signature default="true" pagebreak="true" signaturemessage="no">
          <para>
            <paratext>
              <table frame="none" pgwide="1">
                <tgroup cols="1">
                  <colspec colname="1" colnum="1" colwidth="100"/>
                  <tbody>
                    <row>
                      <entry valign="top">
                        <para align="left">
                          <paratext>................................................................</paratext>
                        </para>
                      </entry>
                    </row>
                    <row>
                      <entry valign="top">
                        <para align="left">
                          <paratext>[INSERT NAME OF INDIVIDUAL WARRANTOR]</paratext>
                        </para>
                      </entry>
                    </row>
                    <row>
                      <entry valign="top">
                        <para align="left">
                          <paratext>................................................................</paratext>
                        </para>
                      </entry>
                    </row>
                    <row>
                      <entry valign="top">
                        <para align="left">
                          <paratext>[INSERT NAME OF INDIVIDUAL WARRANTOR]</paratext>
                        </para>
                      </entry>
                    </row>
                    <row>
                      <entry valign="top">
                        <para align="left">
                          <paratext>................................................................</paratext>
                        </para>
                      </entry>
                    </row>
                    <row>
                      <entry valign="top">
                        <para align="left">
                          <paratext>[For and on behalf of [INSERT NAME OF THE COMPANY]]</paratext>
                        </para>
                      </entry>
                    </row>
                    <row>
                      <entry valign="top">
                        <para align="left">
                          <paratext>We hereby acknowledge receipt [, and accept the contents,] of the Disclosure Letter, of which this is a duplicate.</paratext>
                        </para>
                      </entry>
                    </row>
                    <row>
                      <entry valign="top">
                        <para align="left">
                          <paratext>Signed .....................................................</paratext>
                        </para>
                      </entry>
                    </row>
                    <row>
                      <entry valign="top">
                        <para align="left">
                          <paratext>For and on behalf of [INSERT NAME OF INVESTOR]</paratext>
                        </para>
                      </entry>
                    </row>
                    <row>
                      <entry valign="top">
                        <para align="left">
                          <paratext>Date ........................................................</paratext>
                        </para>
                      </entry>
                    </row>
                  </tbody>
                </tgroup>
              </table>
            </paratext>
          </para>
        </signature>
      </body>
    </standard.doc>
  </n-docbody>
</n-document>
</file>

<file path=customXml/item6.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5c065345-6080-4ae7-8c42-1639e8cfe524">
      <Terms xmlns="http://schemas.microsoft.com/office/infopath/2007/PartnerControls"/>
    </lcf76f155ced4ddcb4097134ff3c332f>
    <TaxCatchAll xmlns="8973ee20-489b-48f3-bb52-c7475adb1348" xsi:nil="true"/>
  </documentManagement>
</p:properties>
</file>

<file path=customXml/item8.xml><?xml version="1.0" encoding="utf-8"?>
<properties xmlns="http://www.imanage.com/work/xmlschema">
  <documentid>Documents!60727511.3</documentid>
  <senderid>JE3</senderid>
  <senderemail>JAY.ENG@FOOTANSTEY.COM</senderemail>
  <lastmodified>2025-04-03T14:58:00.0000000+01:00</lastmodified>
  <database>Documents</database>
</properties>
</file>

<file path=customXml/itemProps1.xml><?xml version="1.0" encoding="utf-8"?>
<ds:datastoreItem xmlns:ds="http://schemas.openxmlformats.org/officeDocument/2006/customXml" ds:itemID="{8240B33F-3D5A-4AC1-B8BD-C887B47CA31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68E9DD35-4DF8-43A7-8921-7EE4F1B3FB9F}">
  <ds:schemaRefs>
    <ds:schemaRef ds:uri="http://schemas.microsoft.com/sharepoint/v3/contenttype/forms"/>
  </ds:schemaRefs>
</ds:datastoreItem>
</file>

<file path=customXml/itemProps3.xml><?xml version="1.0" encoding="utf-8"?>
<ds:datastoreItem xmlns:ds="http://schemas.openxmlformats.org/officeDocument/2006/customXml" ds:itemID="{A2DC01D0-0D15-41DA-BEE5-B0F5E8C7F460}">
  <ds:schemaRefs>
    <ds:schemaRef ds:uri="http://schemas.microsoft.com/2004/VisualStudio/Tools/Applications/CachedDataManifest.xsd"/>
  </ds:schemaRefs>
</ds:datastoreItem>
</file>

<file path=customXml/itemProps4.xml><?xml version="1.0" encoding="utf-8"?>
<ds:datastoreItem xmlns:ds="http://schemas.openxmlformats.org/officeDocument/2006/customXml" ds:itemID="{0314F4FF-9C91-40AB-86AB-C00777C4FAAC}"/>
</file>

<file path=customXml/itemProps5.xml><?xml version="1.0" encoding="utf-8"?>
<ds:datastoreItem xmlns:ds="http://schemas.openxmlformats.org/officeDocument/2006/customXml" ds:itemID="{24A54175-9E5F-4588-A767-354863FD728B}">
  <ds:schemaRefs>
    <ds:schemaRef ds:uri="http://www.w3.org/2001/XMLSchema"/>
  </ds:schemaRefs>
</ds:datastoreItem>
</file>

<file path=customXml/itemProps6.xml><?xml version="1.0" encoding="utf-8"?>
<ds:datastoreItem xmlns:ds="http://schemas.openxmlformats.org/officeDocument/2006/customXml" ds:itemID="{BD442842-C8DD-4A40-BF32-AB1FA25950AC}">
  <ds:schemaRefs>
    <ds:schemaRef ds:uri="http://schemas.microsoft.com/office/2006/customDocumentInformationPanel"/>
  </ds:schemaRefs>
</ds:datastoreItem>
</file>

<file path=customXml/itemProps7.xml><?xml version="1.0" encoding="utf-8"?>
<ds:datastoreItem xmlns:ds="http://schemas.openxmlformats.org/officeDocument/2006/customXml" ds:itemID="{922B536A-B1C4-4FE6-AF15-6A9D48999B72}">
  <ds:schemaRefs>
    <ds:schemaRef ds:uri="http://schemas.microsoft.com/office/2006/metadata/properties"/>
    <ds:schemaRef ds:uri="http://schemas.microsoft.com/office/infopath/2007/PartnerControls"/>
    <ds:schemaRef ds:uri="5c065345-6080-4ae7-8c42-1639e8cfe524"/>
    <ds:schemaRef ds:uri="8973ee20-489b-48f3-bb52-c7475adb1348"/>
  </ds:schemaRefs>
</ds:datastoreItem>
</file>

<file path=customXml/itemProps8.xml><?xml version="1.0" encoding="utf-8"?>
<ds:datastoreItem xmlns:ds="http://schemas.openxmlformats.org/officeDocument/2006/customXml" ds:itemID="{FEF194E2-3ACC-4B80-AFCB-0AB169ADB47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496</Words>
  <Characters>2831</Characters>
  <Application>Microsoft Office Word</Application>
  <DocSecurity>0</DocSecurity>
  <Lines>23</Lines>
  <Paragraphs>6</Paragraphs>
  <ScaleCrop>false</ScaleCrop>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Mhairi Ambler</cp:lastModifiedBy>
  <cp:revision>7</cp:revision>
  <cp:lastPrinted>2024-10-24T14:53:00Z</cp:lastPrinted>
  <dcterms:created xsi:type="dcterms:W3CDTF">2025-06-02T12:50:00Z</dcterms:created>
  <dcterms:modified xsi:type="dcterms:W3CDTF">2025-06-02T12:50:00Z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#60727511 v3</vt:lpwstr>
  </property>
  <property fmtid="{D5CDD505-2E9C-101B-9397-08002B2CF9AE}" pid="3" name="ContentTypeId">
    <vt:lpwstr>0x010100F790A929052E754EB59DEE571327065E</vt:lpwstr>
  </property>
  <property fmtid="{D5CDD505-2E9C-101B-9397-08002B2CF9AE}" pid="4" name="ClassificationContentMarkingHeaderShapeIds">
    <vt:lpwstr>6d7850ea,6ce21392,9e80cf3</vt:lpwstr>
  </property>
  <property fmtid="{D5CDD505-2E9C-101B-9397-08002B2CF9AE}" pid="5" name="ClassificationContentMarkingHeaderFontProps">
    <vt:lpwstr>#ff8c00,11,Calibri</vt:lpwstr>
  </property>
  <property fmtid="{D5CDD505-2E9C-101B-9397-08002B2CF9AE}" pid="6" name="ClassificationContentMarkingHeaderText">
    <vt:lpwstr>RESTRICTED</vt:lpwstr>
  </property>
  <property fmtid="{D5CDD505-2E9C-101B-9397-08002B2CF9AE}" pid="7" name="ClassificationContentMarkingFooterShapeIds">
    <vt:lpwstr>2803b338,1c174110,3a3b7ee3</vt:lpwstr>
  </property>
  <property fmtid="{D5CDD505-2E9C-101B-9397-08002B2CF9AE}" pid="8" name="ClassificationContentMarkingFooterFontProps">
    <vt:lpwstr>#ff8c00,11,Calibri</vt:lpwstr>
  </property>
  <property fmtid="{D5CDD505-2E9C-101B-9397-08002B2CF9AE}" pid="9" name="ClassificationContentMarkingFooterText">
    <vt:lpwstr>RESTRICTED</vt:lpwstr>
  </property>
  <property fmtid="{D5CDD505-2E9C-101B-9397-08002B2CF9AE}" pid="10" name="MSIP_Label_57c33bae-76e0-44b3-baa3-351f99b93dbd_Enabled">
    <vt:lpwstr>true</vt:lpwstr>
  </property>
  <property fmtid="{D5CDD505-2E9C-101B-9397-08002B2CF9AE}" pid="11" name="MSIP_Label_57c33bae-76e0-44b3-baa3-351f99b93dbd_SetDate">
    <vt:lpwstr>2025-06-02T12:50:02Z</vt:lpwstr>
  </property>
  <property fmtid="{D5CDD505-2E9C-101B-9397-08002B2CF9AE}" pid="12" name="MSIP_Label_57c33bae-76e0-44b3-baa3-351f99b93dbd_Method">
    <vt:lpwstr>Standard</vt:lpwstr>
  </property>
  <property fmtid="{D5CDD505-2E9C-101B-9397-08002B2CF9AE}" pid="13" name="MSIP_Label_57c33bae-76e0-44b3-baa3-351f99b93dbd_Name">
    <vt:lpwstr>Restricted</vt:lpwstr>
  </property>
  <property fmtid="{D5CDD505-2E9C-101B-9397-08002B2CF9AE}" pid="14" name="MSIP_Label_57c33bae-76e0-44b3-baa3-351f99b93dbd_SiteId">
    <vt:lpwstr>550beeb3-6a3d-4646-a111-f89d0177792e</vt:lpwstr>
  </property>
  <property fmtid="{D5CDD505-2E9C-101B-9397-08002B2CF9AE}" pid="15" name="MSIP_Label_57c33bae-76e0-44b3-baa3-351f99b93dbd_ActionId">
    <vt:lpwstr>cdc7d68b-627e-465b-9267-911637e44358</vt:lpwstr>
  </property>
  <property fmtid="{D5CDD505-2E9C-101B-9397-08002B2CF9AE}" pid="16" name="MSIP_Label_57c33bae-76e0-44b3-baa3-351f99b93dbd_ContentBits">
    <vt:lpwstr>3</vt:lpwstr>
  </property>
  <property fmtid="{D5CDD505-2E9C-101B-9397-08002B2CF9AE}" pid="17" name="MSIP_Label_57c33bae-76e0-44b3-baa3-351f99b93dbd_Tag">
    <vt:lpwstr>10, 3, 0, 2</vt:lpwstr>
  </property>
  <property fmtid="{D5CDD505-2E9C-101B-9397-08002B2CF9AE}" pid="18" name="MediaServiceImageTags">
    <vt:lpwstr/>
  </property>
</Properties>
</file>